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3A" w:rsidRPr="00F97F0A" w:rsidRDefault="00FF753A" w:rsidP="00F97F0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0A">
        <w:rPr>
          <w:rFonts w:ascii="Times New Roman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FF753A" w:rsidRPr="00F97F0A" w:rsidRDefault="00FF753A" w:rsidP="00F97F0A">
      <w:pPr>
        <w:pBdr>
          <w:bottom w:val="single" w:sz="12" w:space="1" w:color="auto"/>
        </w:pBd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0A">
        <w:rPr>
          <w:rFonts w:ascii="Times New Roman" w:hAnsi="Times New Roman" w:cs="Times New Roman"/>
          <w:b/>
          <w:sz w:val="24"/>
          <w:szCs w:val="24"/>
        </w:rPr>
        <w:t>«ИНСТИТУТ ГОСУДАРСТВЕННОГО АДМИНИСТРИРОВАНИЯ»</w:t>
      </w:r>
    </w:p>
    <w:p w:rsidR="00FF753A" w:rsidRPr="00F97F0A" w:rsidRDefault="00FF753A" w:rsidP="00F97F0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53A" w:rsidRPr="00F97F0A" w:rsidRDefault="00FF753A" w:rsidP="00F97F0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0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F753A" w:rsidRPr="00F97F0A" w:rsidRDefault="00FF753A" w:rsidP="00F97F0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0A">
        <w:rPr>
          <w:rFonts w:ascii="Times New Roman" w:hAnsi="Times New Roman" w:cs="Times New Roman"/>
          <w:b/>
          <w:sz w:val="24"/>
          <w:szCs w:val="24"/>
        </w:rPr>
        <w:t>О НАУЧНО-ИССЛЕДОВАТЕЛЬСКОЙ ДЕЯТЕЛЬНОСТИ ЗА 2021 ГОД</w:t>
      </w:r>
    </w:p>
    <w:p w:rsidR="00FF753A" w:rsidRPr="00F97F0A" w:rsidRDefault="00FF753A" w:rsidP="00F97F0A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F753A" w:rsidRPr="00F97F0A" w:rsidRDefault="00FF753A" w:rsidP="00F97F0A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97F0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F753A" w:rsidRPr="00F97F0A" w:rsidRDefault="005978C5" w:rsidP="00F97F0A">
      <w:pPr>
        <w:spacing w:before="240" w:after="24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struktura" w:history="1">
        <w:r w:rsidR="00FF753A" w:rsidRPr="00F97F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 Структура</w:t>
        </w:r>
      </w:hyperlink>
    </w:p>
    <w:p w:rsidR="00FF753A" w:rsidRPr="00F97F0A" w:rsidRDefault="005978C5" w:rsidP="00F97F0A">
      <w:pPr>
        <w:spacing w:before="240" w:after="24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obsch_inf" w:history="1">
        <w:r w:rsidR="00FF753A" w:rsidRPr="00F97F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 Общая информация</w:t>
        </w:r>
      </w:hyperlink>
    </w:p>
    <w:p w:rsidR="00FF753A" w:rsidRPr="00F97F0A" w:rsidRDefault="005978C5" w:rsidP="00F97F0A">
      <w:pPr>
        <w:spacing w:before="240" w:after="24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anchor="osn_rez_2015" w:history="1">
        <w:r w:rsidR="00FF753A" w:rsidRPr="00F97F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Основные результаты 2021 года</w:t>
        </w:r>
      </w:hyperlink>
    </w:p>
    <w:p w:rsidR="00FF753A" w:rsidRPr="00F97F0A" w:rsidRDefault="00FF753A" w:rsidP="00F97F0A">
      <w:pPr>
        <w:spacing w:before="240" w:after="24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Заключение</w:t>
      </w:r>
    </w:p>
    <w:p w:rsidR="00FF753A" w:rsidRPr="00F97F0A" w:rsidRDefault="00FF753A" w:rsidP="00F97F0A">
      <w:pPr>
        <w:spacing w:before="240" w:after="24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FF753A" w:rsidRPr="00F97F0A" w:rsidRDefault="00FF753A" w:rsidP="00F97F0A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F753A" w:rsidRPr="00F97F0A" w:rsidRDefault="00FF753A" w:rsidP="00F97F0A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97F0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F753A" w:rsidRPr="002629C5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работа в Институте государственного администрирования (далее институт) в 2021 году проводилась в соответствии с требованиями типового Положения о научной деятельности учебного заведения высшего образования, Устава института, Плана научно-исследовательской</w:t>
      </w:r>
      <w:r w:rsidR="0026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2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26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 ВО «ИГА» на 2021 год, а также плана мероприятий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 ВО «ИГА» по реализации</w:t>
      </w:r>
      <w:r w:rsidR="0026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262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науки и технологий, объявленного Президентом РФ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Путиным.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процессе реализации научно-исследовательской деятельности (далее – НИД) учитывались основные положения ФЗ от 23 августа 1996 г. № 127-ФЗ "О науке и государственной научно-технической политике" (с изменениями и дополнениями), ФЗ от 29 декабря 2012 г. № 273-ФЗ «Об образовании» (последняя редакция).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деятельность в 2021 г. проводилась в сложных условиях, вызванных переходом на реализацию образовательных и научных программ с применением дистанционных образовательных технологий из-за угрозы распространения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r w:rsidRPr="00F97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-19. Переход на удаленный формат работы в связи с распространением пандемии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запрет на проведение массовых мероприятий,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 на он-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проведения круглых столов, конференций, семинаров, панельных дискуссий и др. выступил осложняющим и тормозящим фактором для проведения научно-исследовательской работы. Но, несмотря на пандемию, научно-исследовательская деятельность велась согласно плану, утвержденному на Ученом совете Института государственного администрирования. Ход, состояние и предварительные результаты НИД регулярно обсуждались на заседаниях Ученого совета института, на заседаниях кафедр и факультетов.</w:t>
      </w:r>
    </w:p>
    <w:p w:rsidR="00B8116E" w:rsidRPr="00F97F0A" w:rsidRDefault="00FF753A" w:rsidP="00B811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проведения НИД в 2021 году являлась также получение и реализация трех грантов Федерального агентства по делам молодежи (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общую сумму 8,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в течение последних лет регулярно подавал заявки </w:t>
      </w:r>
      <w:r w:rsidR="00B8116E"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различные конкурсы 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16E"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фонд фундаментальных исследований (РФФИ), Российский научный фонд (РНФ), Фонд Президентских грантов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Это</w:t>
      </w:r>
      <w:r w:rsidR="00B8116E"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позволило сформировать команду исполнителей и набрать опыт проектной деятельности, причем как в головном вузе, так и в филиалах и представительствах.</w:t>
      </w:r>
    </w:p>
    <w:p w:rsidR="00B8116E" w:rsidRPr="00F97F0A" w:rsidRDefault="00B8116E" w:rsidP="00B811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рамках реализации грантов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было проведено: </w:t>
      </w:r>
    </w:p>
    <w:p w:rsidR="00B8116E" w:rsidRPr="00F97F0A" w:rsidRDefault="00B8116E" w:rsidP="00B811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проекту 1 «Никто не забыт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- 7 крупных мероприятий с общим количеством участников в 650 человек, опубликовано в средствах массовой информации и в сети Интернет 60 публикаций, а общее количество просмотров публикаций о мероприятиях проекта превысило 1,5 тыс. человек;</w:t>
      </w:r>
    </w:p>
    <w:p w:rsidR="00B8116E" w:rsidRPr="00F97F0A" w:rsidRDefault="00B8116E" w:rsidP="00B811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 проекту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ЗОЖдлямолодежь</w:t>
      </w:r>
      <w:proofErr w:type="spellEnd"/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- 11 мероприятий, включая межрегиональный турнир по настольному теннису, в которых приняло участие свыше 100 человек. В средствах массовой информации и в сети Интернет опубликовано 35 информационных листков, а общее количество просмотров публикаций о мероприятиях данного проекта превысило 1,0 тыс. человек;</w:t>
      </w:r>
    </w:p>
    <w:p w:rsidR="00B8116E" w:rsidRPr="00F97F0A" w:rsidRDefault="00B8116E" w:rsidP="00B811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 проекту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«Форум студенческих клубов» -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мероприятий с участием 60 человек. В средствах массовой информации и в сети Интернет опубликовано 30 публикаций, а общее количество просмотров публикаций о мероприятиях проекта превысило 1,5 тыс. человек.</w:t>
      </w:r>
    </w:p>
    <w:p w:rsidR="00B8116E" w:rsidRPr="00F97F0A" w:rsidRDefault="00B8116E" w:rsidP="00B811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(Краткий отчет о реализации проектов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прилагается).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30 декабря 2021 года в институте работали</w:t>
      </w:r>
      <w:r w:rsidRPr="00F97F0A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докторов наук, из них 8 имели ученое звание профессора и 7 - ученое звание доцента, 31 кандидат наук, из них 20 имели ученое звание доцента. Творческий потенциал института составляли также 1 академик и 2 члена-корреспондента Российского академии естественных наук (РАЕН). В целом среди преподавателей 75% имели ученые степени и ученые звания, что полностью соответствует требованиям к научному потенциалу аккредитованных вузов.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состава руководства вуза 5 чел. имели ученые степени и ученые звания, не имели ученые степени и ученые звания 2 чел. Из числа преподавателей 4 чел. работали над докторской диссертацией</w:t>
      </w:r>
      <w:r w:rsidRPr="00F97F0A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и 14 чел. являлись соискателями ученой степени кандидата наук.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96"/>
      </w:tblGrid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F9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Проректор по научной работе:</w:t>
            </w:r>
          </w:p>
        </w:tc>
      </w:tr>
      <w:tr w:rsidR="00FF753A" w:rsidRPr="00F97F0A" w:rsidTr="002C562E">
        <w:tc>
          <w:tcPr>
            <w:tcW w:w="89" w:type="dxa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общую координацию деятельности структурных подразделений и общественных объединений института, вовлечённых в научно-исследовательскую и инновационную деятельность;</w:t>
            </w:r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30"/>
            </w:tblGrid>
            <w:tr w:rsidR="00FF753A" w:rsidRPr="00F97F0A" w:rsidTr="002C562E">
              <w:tc>
                <w:tcPr>
                  <w:tcW w:w="0" w:type="auto"/>
                  <w:vAlign w:val="center"/>
                  <w:hideMark/>
                </w:tcPr>
                <w:p w:rsidR="00FF753A" w:rsidRPr="00F97F0A" w:rsidRDefault="00FF753A" w:rsidP="00F97F0A">
                  <w:pPr>
                    <w:spacing w:after="0" w:line="36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53A" w:rsidRPr="00F97F0A" w:rsidRDefault="00FF753A" w:rsidP="00F97F0A">
                  <w:pPr>
                    <w:spacing w:after="0" w:line="36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занимается координацией деятельности по подготовке научно-педагогических кадров, соискательства, а также защите диссертаций и вопросам присвоения учёных степеней и ученых званий;</w:t>
                  </w:r>
                </w:p>
                <w:tbl>
                  <w:tblPr>
                    <w:tblW w:w="90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8910"/>
                  </w:tblGrid>
                  <w:tr w:rsidR="00FF753A" w:rsidRPr="00F97F0A" w:rsidTr="002C562E">
                    <w:tc>
                      <w:tcPr>
                        <w:tcW w:w="0" w:type="auto"/>
                        <w:vAlign w:val="center"/>
                        <w:hideMark/>
                      </w:tcPr>
                      <w:p w:rsidR="00FF753A" w:rsidRPr="00F97F0A" w:rsidRDefault="00FF753A" w:rsidP="00F97F0A">
                        <w:pPr>
                          <w:spacing w:after="0" w:line="360" w:lineRule="auto"/>
                          <w:ind w:firstLine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97F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753A" w:rsidRPr="00F97F0A" w:rsidRDefault="00FF753A" w:rsidP="00F97F0A">
                        <w:pPr>
                          <w:spacing w:after="0" w:line="360" w:lineRule="auto"/>
                          <w:ind w:firstLine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97F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оказывает содействие сотрудникам и обучающимся в институте в вопросах разработки инноваций и внедрения их в практику, </w:t>
                        </w:r>
                        <w:r w:rsidRPr="00F97F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cr/>
                        </w:r>
                        <w:proofErr w:type="spellStart"/>
                        <w:r w:rsidRPr="00F97F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одготовки</w:t>
                        </w:r>
                        <w:proofErr w:type="spellEnd"/>
                        <w:r w:rsidRPr="00F97F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заявок на гранты и их реализацией.</w:t>
                        </w:r>
                      </w:p>
                    </w:tc>
                  </w:tr>
                </w:tbl>
                <w:p w:rsidR="00FF753A" w:rsidRPr="00F97F0A" w:rsidRDefault="00FF753A" w:rsidP="00F97F0A">
                  <w:pPr>
                    <w:spacing w:after="0" w:line="36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5978C5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FF753A"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Научно-исследовательский отдел</w:t>
              </w:r>
            </w:hyperlink>
            <w:r w:rsidR="00FF753A" w:rsidRPr="00F9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информационное и организационно-техническое сопровождение научно-исследовательских проектов и консультационную поддержку научно-педагогическим работникам института, осуществляющим научно-исследовательскую деятельность;</w:t>
            </w:r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204"/>
            </w:tblGrid>
            <w:tr w:rsidR="00FF753A" w:rsidRPr="00F97F0A" w:rsidTr="002C562E">
              <w:tc>
                <w:tcPr>
                  <w:tcW w:w="0" w:type="auto"/>
                  <w:vAlign w:val="center"/>
                  <w:hideMark/>
                </w:tcPr>
                <w:p w:rsidR="00FF753A" w:rsidRPr="00F97F0A" w:rsidRDefault="00FF753A" w:rsidP="00F97F0A">
                  <w:pPr>
                    <w:spacing w:after="0" w:line="36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53A" w:rsidRPr="00F97F0A" w:rsidRDefault="00FF753A" w:rsidP="00F97F0A">
                  <w:pPr>
                    <w:spacing w:after="0" w:line="36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7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оказывает содействие сотрудникам и обучающимся института в вопросах защиты их</w:t>
                  </w:r>
                  <w:r w:rsidRPr="00F97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интеллектуальных прав.</w:t>
                  </w:r>
                </w:p>
              </w:tc>
            </w:tr>
          </w:tbl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0A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hyperlink r:id="rId11" w:history="1">
              <w:r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дополнительного профессионального образования (ДПО)</w:t>
              </w:r>
            </w:hyperlink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осуществляет повышение квалификации и переобучение научно-педагогических кадров;</w:t>
            </w: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5978C5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FF753A"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Студенческое научное общество</w:t>
              </w:r>
            </w:hyperlink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студенческая общественная организация института, объединяющая студентов, занимающихся научными исследованиями.</w:t>
            </w: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5978C5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FF753A"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Научная библиотека</w:t>
              </w:r>
            </w:hyperlink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обеспечивает сотрудников и обучающихся института учебной и научной литературой.</w:t>
            </w: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5978C5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FF753A"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Научные журналы</w:t>
              </w:r>
            </w:hyperlink>
            <w:r w:rsidR="00FF753A" w:rsidRPr="00F9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(печатные и сетевые издания)</w:t>
            </w:r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осуществляют публикацию научных статей с целью информационного </w:t>
            </w: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 продвижения научных исследований.</w:t>
            </w: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Редакционно-издательский отдел</w:t>
            </w:r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редактирование и подготовку к изданию научной, учебной и учебно-методической литературы.</w:t>
            </w: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5978C5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FF753A"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Совет молодых учёных и специалистов</w:t>
              </w:r>
            </w:hyperlink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общественное объединение сотрудников института, представляющее интересы молодых учёных и специалистов.</w:t>
            </w:r>
          </w:p>
        </w:tc>
      </w:tr>
      <w:tr w:rsidR="00FF753A" w:rsidRPr="00F97F0A" w:rsidTr="002C562E">
        <w:tc>
          <w:tcPr>
            <w:tcW w:w="0" w:type="auto"/>
            <w:gridSpan w:val="2"/>
            <w:vAlign w:val="center"/>
            <w:hideMark/>
          </w:tcPr>
          <w:p w:rsidR="00FF753A" w:rsidRPr="00F97F0A" w:rsidRDefault="005978C5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FF753A"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Центр коллективного пользования г. Москвы в области </w:t>
              </w:r>
              <w:proofErr w:type="spellStart"/>
              <w:r w:rsidR="00FF753A" w:rsidRPr="00F97F0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нанотехнологий</w:t>
              </w:r>
              <w:proofErr w:type="spellEnd"/>
            </w:hyperlink>
            <w:r w:rsidR="00FF753A" w:rsidRPr="00F9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F753A" w:rsidRPr="00F97F0A" w:rsidTr="002C562E"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услуги по предоставлению открытого доступа к высокотехнологичному оборудованию.</w:t>
            </w:r>
          </w:p>
          <w:p w:rsidR="00FF753A" w:rsidRPr="00F97F0A" w:rsidRDefault="00FF753A" w:rsidP="00F97F0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53A" w:rsidRPr="00F97F0A" w:rsidRDefault="00FF753A" w:rsidP="00F97F0A">
      <w:pPr>
        <w:spacing w:before="240" w:after="24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obsch_inf"/>
      <w:bookmarkEnd w:id="0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Общая информация</w:t>
      </w:r>
    </w:p>
    <w:p w:rsidR="005D7A01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деятельность в институте за отчетный период осуществлялись по следующим основным </w:t>
      </w:r>
      <w:r w:rsidR="00362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 специальностям, по которым присуждаются ученые степени:</w:t>
      </w:r>
    </w:p>
    <w:p w:rsidR="00FF753A" w:rsidRPr="00362E2B" w:rsidRDefault="005D7A01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юридическом факультете:</w:t>
      </w:r>
      <w:r w:rsidR="00FF753A" w:rsidRPr="0036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2E2B" w:rsidRDefault="00362E2B" w:rsidP="00362E2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62E2B">
        <w:rPr>
          <w:rFonts w:ascii="Times New Roman" w:hAnsi="Times New Roman" w:cs="Times New Roman"/>
          <w:sz w:val="24"/>
          <w:szCs w:val="24"/>
        </w:rPr>
        <w:t>5.1.1. Теоретико-исторические правовые науки</w:t>
      </w:r>
    </w:p>
    <w:p w:rsidR="00362E2B" w:rsidRDefault="00362E2B" w:rsidP="00362E2B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Публично-правовые (государственно-правовые) науки</w:t>
      </w:r>
    </w:p>
    <w:p w:rsidR="00362E2B" w:rsidRPr="00362E2B" w:rsidRDefault="00362E2B" w:rsidP="00362E2B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-правовые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науки</w:t>
      </w:r>
    </w:p>
    <w:p w:rsidR="005D7A01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 Уголовно-правовые науки</w:t>
      </w:r>
    </w:p>
    <w:p w:rsidR="00362E2B" w:rsidRP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факультете экономики и управления: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 Экономическая теория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5.2.3 Региональная и отраслевая экономика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5.2.4 Финансы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 Менеджмент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психолого-педагогическом факультете: 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 О</w:t>
      </w:r>
      <w:r w:rsidRPr="00362E2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психология, психология личности, история психологии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5.3.5 Социальная психология, политическая и экономическая психология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5.3.8 Коррекционная психология и дефектология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Общая педагогика, история педагогики и образования</w:t>
      </w:r>
    </w:p>
    <w:p w:rsidR="00362E2B" w:rsidRDefault="00362E2B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5.8.2 Теория и методика обучения и воспитания (по областям и уровням образования)</w:t>
      </w:r>
    </w:p>
    <w:p w:rsidR="00362E2B" w:rsidRPr="00362E2B" w:rsidRDefault="00AF651A" w:rsidP="0070369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5.8.3 Коррекционная педагогика (сурдопедагогика и тифлопедагогика, олигофренопедагогика и логопедия)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сложились </w:t>
      </w: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школы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возглавляемые ведущими учеными, вносившими значительный вклад в развитие науки во многих отраслях знаний. В институте созданы и плодотворно действуют следующие </w:t>
      </w: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школы: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«Человеческий капитал в организации»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научные руководители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н., проф. Д.Н.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д.псих.н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А.В.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Тышковский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r w:rsidR="0070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Высшее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образование: социальная функция и социальный институт»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научные руководители к.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юрид.н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А.В. Тараканов и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сих.н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проф. Д.Н.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Цифровизация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интеллектуализация и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логистизация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перевозок»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руководитель д.э.н., проф. А.А. Софронова.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«Экология природы и экология человека»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д.э.н., академик РАЕН, проф. В.А. Тараканов;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«Российское государство в ХХ – начале 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в: вызовы и уроки новейшего времени»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руководитель д.и.н., проф. В.В. Орлов;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«Коррупция в Российской Федерации как социально-правовое явление», </w:t>
      </w:r>
      <w:r w:rsidRPr="00F9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Н.П.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Водько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«Проблемы повышения правовой культуры российских студентов»,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О.О. Миронов;</w:t>
      </w:r>
    </w:p>
    <w:p w:rsidR="00FF753A" w:rsidRPr="00F97F0A" w:rsidRDefault="00FF753A" w:rsidP="00F97F0A">
      <w:pPr>
        <w:spacing w:before="240" w:after="24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«Проблемы государства и права переходного периода»»,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д.ю</w:t>
      </w:r>
      <w:proofErr w:type="gram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проф. И.В. Дойников.</w:t>
      </w: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действует </w:t>
      </w: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студенческое научное общество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(СНО) и студенческие научные группы и центры на факультетах, которые объединяют практически всех студентов очного и заочного отделений. Актив СНО проводит регулярно заседания, участвует в научных мероприятиях: конкурсах научных работ, научно-практических семинарах, выступает на факультетских и межвузовских конференциях.</w:t>
      </w:r>
      <w:r w:rsidRPr="00F97F0A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институтских сборниках материалов межвузовских и межрегиональных научно-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практических конференций и сборниках других вузов опубликовано 29 статей студентов нашего вуза, осваивающих программу магистратуры. В научных сборниках статей других вузов опубликовано 25 статей членов СНО института.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обеспечены научным фондом библиотеки, содержащим 275 наименований монографий, сборников и других научных трудов, 7 наименований периодических изданий. Всего в библиотеке хранится 65 089 экземпляров учебной и научной литературы, из них учебная литература 27 297 экз.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стимулирования научной активности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научно-педагогических работников в институте установлены:</w:t>
      </w:r>
    </w:p>
    <w:p w:rsidR="00FF753A" w:rsidRPr="00F97F0A" w:rsidRDefault="00FF753A" w:rsidP="00F97F0A">
      <w:pPr>
        <w:spacing w:after="0" w:line="360" w:lineRule="auto"/>
        <w:ind w:left="4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history="1">
        <w:r w:rsidRPr="00F97F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защиту кандидатской и докторской диссертации, научное руководство (консультирование) диссертационным исследованием;</w:t>
      </w:r>
    </w:p>
    <w:p w:rsidR="00FF753A" w:rsidRPr="00F97F0A" w:rsidRDefault="00FF753A" w:rsidP="00F97F0A">
      <w:pPr>
        <w:spacing w:after="0" w:line="360" w:lineRule="auto"/>
        <w:ind w:left="4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8" w:history="1">
        <w:r w:rsidRPr="00F97F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публикации научных статей в высокорейтинговых журналах;</w:t>
      </w:r>
    </w:p>
    <w:p w:rsidR="00FF753A" w:rsidRPr="00F97F0A" w:rsidRDefault="00FF753A" w:rsidP="00F97F0A">
      <w:pPr>
        <w:spacing w:after="0" w:line="360" w:lineRule="auto"/>
        <w:ind w:left="45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решением Ученого совета института 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выделяются дополнительные финансовые средства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из внебюджетных источников, на финансирование научных школ, проведение конференций, публикацию сборников статей и научных трудов, премирование активистов и победителей конкурсов научных работ.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же целях проводятся 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«Учёный года», «Профессор года», «Доцент года», «Старший преподаватель года», «Ассистент года», а также смотры конкурсы среди кафедр и факультетов «Лучшая выпускная квалификационная работа» (уровень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); «Лучшая выпускная квалификационная работа» (уровень магистратуры)</w:t>
      </w:r>
      <w:r w:rsidR="00703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53A" w:rsidRPr="00F97F0A" w:rsidRDefault="00FF753A" w:rsidP="00F97F0A">
      <w:pPr>
        <w:spacing w:before="240" w:after="24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sn_rez_2015"/>
      <w:bookmarkEnd w:id="1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Основные результаты </w:t>
      </w:r>
      <w:proofErr w:type="gramStart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 года</w:t>
      </w:r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753A" w:rsidRPr="00F97F0A" w:rsidRDefault="00703691" w:rsidP="00F97F0A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</w:t>
      </w:r>
      <w:r w:rsidR="00FF753A"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 статье «</w:t>
      </w:r>
      <w:r w:rsidR="00FF753A"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о-исследовательская деятельность»</w:t>
      </w:r>
      <w:r w:rsidR="00FF753A"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FF753A"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F753A"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414</w:t>
      </w:r>
      <w:r w:rsidR="00FF753A"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F753A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тыс. руб., </w:t>
      </w:r>
      <w:r w:rsidR="00FF753A"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них внутренние расходы на научные исследования и разработки – </w:t>
      </w:r>
      <w:r w:rsidR="00FF753A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F753A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447</w:t>
      </w:r>
      <w:r w:rsidR="00FF753A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FF753A"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руб., внешние затраты на научные исследования и разработки </w:t>
      </w:r>
      <w:r w:rsidR="00FF753A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7 966</w:t>
      </w:r>
      <w:r w:rsidR="00FF753A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FF753A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</w:t>
      </w:r>
      <w:r w:rsidR="00FF753A"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руб.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публикационной активности (см. в приложении </w:t>
      </w:r>
      <w:hyperlink r:id="rId19" w:history="1">
        <w:r w:rsidRPr="00F97F0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ссылку на eLIBRARY.RU</w:t>
        </w:r>
      </w:hyperlink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753A" w:rsidRPr="00F97F0A" w:rsidRDefault="00FF753A" w:rsidP="00F97F0A">
      <w:pPr>
        <w:spacing w:after="0" w:line="360" w:lineRule="auto"/>
        <w:ind w:left="45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опубликовано </w:t>
      </w: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145 статей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FF753A" w:rsidRPr="00F97F0A" w:rsidRDefault="00FF753A" w:rsidP="00F97F0A">
      <w:pPr>
        <w:spacing w:after="0" w:line="360" w:lineRule="auto"/>
        <w:ind w:left="45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- 49 статей в изданиях, входящих в 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 статей процитировано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публикациях в РИНЦ;</w:t>
      </w:r>
    </w:p>
    <w:p w:rsidR="00FF753A" w:rsidRPr="00F97F0A" w:rsidRDefault="00FF753A" w:rsidP="00F97F0A">
      <w:pPr>
        <w:spacing w:after="0" w:line="360" w:lineRule="auto"/>
        <w:ind w:left="45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27 статей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журналах из перечня ВАК;</w:t>
      </w:r>
    </w:p>
    <w:p w:rsidR="00FF753A" w:rsidRPr="00F97F0A" w:rsidRDefault="00FF753A" w:rsidP="00F97F0A">
      <w:pPr>
        <w:spacing w:after="0" w:line="360" w:lineRule="auto"/>
        <w:ind w:left="45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 статей в изданиях, входящих в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FF753A" w:rsidRPr="00F97F0A" w:rsidRDefault="00FF753A" w:rsidP="00F97F0A">
      <w:pPr>
        <w:spacing w:after="0" w:line="360" w:lineRule="auto"/>
        <w:ind w:left="45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статей в изданиях, входящих в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F753A" w:rsidRPr="00F97F0A" w:rsidRDefault="00FF753A" w:rsidP="00F97F0A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-опубликовано 19</w:t>
      </w: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монографий, учебников, учебных пособий, учебно-методических пособий. </w:t>
      </w:r>
    </w:p>
    <w:p w:rsidR="00FF753A" w:rsidRPr="00F97F0A" w:rsidRDefault="00FF753A" w:rsidP="00F97F0A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востребованными в учебном процессе оказались учебные издания:</w:t>
      </w:r>
    </w:p>
    <w:p w:rsidR="00FF753A" w:rsidRPr="00F97F0A" w:rsidRDefault="00FF753A" w:rsidP="00F97F0A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7F0A">
        <w:rPr>
          <w:rFonts w:ascii="Times New Roman" w:hAnsi="Times New Roman" w:cs="Times New Roman"/>
          <w:b/>
          <w:iCs/>
          <w:sz w:val="24"/>
          <w:szCs w:val="24"/>
        </w:rPr>
        <w:t>Баринов С.В</w:t>
      </w:r>
      <w:r w:rsidRPr="00F97F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97F0A">
        <w:rPr>
          <w:rFonts w:ascii="Times New Roman" w:hAnsi="Times New Roman" w:cs="Times New Roman"/>
          <w:sz w:val="24"/>
          <w:szCs w:val="24"/>
        </w:rPr>
        <w:t xml:space="preserve">Криминалистика: учебное пособие. М., 2021. </w:t>
      </w:r>
      <w:r w:rsidRPr="00F97F0A">
        <w:rPr>
          <w:rFonts w:ascii="Times New Roman" w:hAnsi="Times New Roman" w:cs="Times New Roman"/>
          <w:color w:val="000000"/>
          <w:spacing w:val="-4"/>
          <w:sz w:val="24"/>
          <w:szCs w:val="24"/>
        </w:rPr>
        <w:t>– 111 с.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Орлов В.В. История России. </w:t>
      </w: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начало </w:t>
      </w: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XX</w:t>
      </w: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века: учебное пособие. М.: Издательско-торговая корпорация «Дашков и К», 2021. – 448 с.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Евсеенко Е.А. </w:t>
      </w:r>
      <w:r w:rsidRPr="00F97F0A">
        <w:rPr>
          <w:rFonts w:ascii="Times New Roman" w:hAnsi="Times New Roman" w:cs="Times New Roman"/>
          <w:b/>
          <w:sz w:val="24"/>
          <w:szCs w:val="24"/>
        </w:rPr>
        <w:t>Экономическая теория.</w:t>
      </w:r>
      <w:r w:rsidRPr="00F97F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Микроэкономика: </w:t>
      </w:r>
      <w:r w:rsidRPr="00F97F0A">
        <w:rPr>
          <w:rFonts w:ascii="Times New Roman" w:hAnsi="Times New Roman" w:cs="Times New Roman"/>
          <w:b/>
          <w:bCs/>
          <w:sz w:val="24"/>
          <w:szCs w:val="24"/>
        </w:rPr>
        <w:t>учебное пособие</w:t>
      </w:r>
      <w:r w:rsidRPr="00F97F0A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F97F0A">
        <w:rPr>
          <w:rFonts w:ascii="Times New Roman" w:hAnsi="Times New Roman" w:cs="Times New Roman"/>
          <w:b/>
          <w:bCs/>
          <w:spacing w:val="-2"/>
          <w:sz w:val="24"/>
          <w:szCs w:val="24"/>
        </w:rPr>
        <w:t>Е.А. Евсеенко; Институт государствен</w:t>
      </w:r>
      <w:r w:rsidRPr="00F97F0A">
        <w:rPr>
          <w:rFonts w:ascii="Times New Roman" w:hAnsi="Times New Roman" w:cs="Times New Roman"/>
          <w:b/>
          <w:bCs/>
          <w:sz w:val="24"/>
          <w:szCs w:val="24"/>
        </w:rPr>
        <w:t xml:space="preserve">ного администрирования. М., 2021. – 130 с. </w:t>
      </w:r>
    </w:p>
    <w:p w:rsidR="00FF753A" w:rsidRPr="00F97F0A" w:rsidRDefault="00FF753A" w:rsidP="00F97F0A">
      <w:pPr>
        <w:spacing w:after="0"/>
        <w:ind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Публично-правовые средства </w:t>
      </w:r>
      <w:proofErr w:type="spellStart"/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цифровизации</w:t>
      </w:r>
      <w:proofErr w:type="spellEnd"/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экономики и финансов. Коллективная монография. Часть 2. </w:t>
      </w:r>
      <w:proofErr w:type="gramStart"/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Публично-правовые средства </w:t>
      </w:r>
      <w:proofErr w:type="spellStart"/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цифровизации</w:t>
      </w:r>
      <w:proofErr w:type="spellEnd"/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финансового контроля и государственного принуждения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Ручкина Г.Ф., Лапина М.А., Ковалева Н.В., Свиридова Е.А., Казанцев Д.А.,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Баракина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Романова Н.В.,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Курныкина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Мадански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Ц.С.,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И.С., Куракин А.В.,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Шихнабиев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Р.А., Карпухин Д.В., Сорокина К.А., Григорьева Н.В.,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Голоскоков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Малахова В.Ю.,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Батюкова</w:t>
      </w:r>
      <w:proofErr w:type="spellEnd"/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Мурадян С.В., Остроушко А.В.,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Красненкова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М., 2021. – 256с.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издаётся научно-популярный журнал </w:t>
      </w:r>
      <w:r w:rsidRPr="00F97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ICARUS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F97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DAEDALUS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«Системный анализ: проблемы и решения» (Россия-Германия). В 2021 году выпущено два номера журнала. В 14-м номере содержатся актуальные статьи в разделах «Интересные факты и события из прошлой и настоящей жизни», «Проблемы изменения климата и альтернативная энергетика», «Из мира научных исследований», «Шедевры мировой живописи». 15-й номер журнала тематически был посвящен 80-летию контрнаступления советских войск под Москвой.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материалам всероссийских научно-практических конференций, проведенных в Институте государственного администрирования в 2021 году, опубликовано сборники статей: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Великая Отечественная война 1941-1945 гг. и советское общество: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социогуманитарное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измерение: Сб. науч. тр. Всероссийской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.-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</w:t>
      </w:r>
      <w:proofErr w:type="spellEnd"/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., посвященной 80-летию начала Великой Отечественной войны 1941-1945 гг. 17 июня 2021 г., г. Москва. М.: Издательско-торговая корпорация «Дашков и К», 2021. -292 с.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данном сборнике статей опубликовано труды 50 преподавателей и молодых ученых (магистрантов, аспирантов, соискателей), (список авторов прилагается).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97F0A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 xml:space="preserve">Распад СССР: причины, ход, последствия (к 30-летию цивилизационной катастрофы </w:t>
      </w:r>
      <w:r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сб. науч. тр. </w:t>
      </w:r>
      <w:proofErr w:type="spellStart"/>
      <w:r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Всерос</w:t>
      </w:r>
      <w:proofErr w:type="spellEnd"/>
      <w:r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 науч</w:t>
      </w:r>
      <w:proofErr w:type="gramStart"/>
      <w:r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.-</w:t>
      </w:r>
      <w:proofErr w:type="spellStart"/>
      <w:proofErr w:type="gramEnd"/>
      <w:r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практ</w:t>
      </w:r>
      <w:proofErr w:type="spellEnd"/>
      <w:r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. </w:t>
      </w:r>
      <w:proofErr w:type="spellStart"/>
      <w:r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конф</w:t>
      </w:r>
      <w:proofErr w:type="spellEnd"/>
      <w:r w:rsidRPr="00F97F0A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>. 18 ноября 2021 г.,</w:t>
      </w:r>
      <w:r w:rsidRPr="00F97F0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г. Москва. М.: </w:t>
      </w:r>
      <w:r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Издательско-торговая корпорация «Дашков и К»,</w:t>
      </w:r>
      <w:r w:rsidRPr="00F97F0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2021. - 290 с.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данном сборнике статей опубликовано труды 30 преподавателей и молодых ученых (магистрантов, аспирантов, соискателей), (список авторов прилагается).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мероприятия. В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2021 года в институте проведено 17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региональных, всероссийских и международных научно-практических</w:t>
      </w:r>
      <w:r w:rsidRPr="00F97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конференций, теоретических семинаров и «круглых столов»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преимущественно в он-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формате. Активное участие в проведении научных мероприятий, как и в предыдущие годы, принимали члены секции «Энциклопедические знания» Российской академии естественных наук (РАЕН), научно-педагогические работники Российской академии народного хозяйства и государственной службы при Президенте РФ, Московского психолого-социального университета, Института экономики и культуры. Сокращение научных мероприятий </w:t>
      </w:r>
      <w:proofErr w:type="gram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предыдущим годом в основном связано с переходом на удаленный формат</w:t>
      </w:r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из-за распространения пандемии </w:t>
      </w:r>
      <w:r w:rsidRPr="00F97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-19.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масштабными стали: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научно-практическая конференция «</w:t>
      </w:r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Великая Отечественная война 1941-1945 гг. и советское общество: </w:t>
      </w:r>
      <w:proofErr w:type="spellStart"/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социогуманитарное</w:t>
      </w:r>
      <w:proofErr w:type="spellEnd"/>
      <w:r w:rsidRPr="00F97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измерение»,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80-летию начала Великой Отечественной войне 1941-1945 годов (июнь 2021),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научно-практическая конференция «</w:t>
      </w:r>
      <w:r w:rsidRPr="00F97F0A">
        <w:rPr>
          <w:rFonts w:ascii="Times New Roman" w:hAnsi="Times New Roman" w:cs="Times New Roman"/>
          <w:color w:val="00000A"/>
          <w:spacing w:val="-4"/>
          <w:sz w:val="24"/>
          <w:szCs w:val="24"/>
        </w:rPr>
        <w:t>Распад СССР: причины, ход, последствия (к 30-летию цивилизационной катастрофы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(ноябрь 2021).</w:t>
      </w:r>
      <w:proofErr w:type="gram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приняли участие более 80 человек из многих регионов России, а также научно-педагогические работники из стран Ближнего и Дальнего зарубежья (Казахстан, Узбекистан, Таджикистан, Республика Болгария, Германия и др.).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интерес научно-практических работников и студентов института вызвали следующие «круглые столы», обзорные и проблемные лекции, доклады и выступления: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«Проблемы охраны благополучия и здоровья населения в условиях распространения пандемии </w:t>
      </w:r>
      <w:r w:rsidRPr="00F97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-19 (февраль 2021);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«В.И. Ленин и судьба социалистического проекта в России» (апрель 2021);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«Исторический опыт борьбы с коллаборационистами в годы Великой Отечественной войны 1941-1945 гг. (май 2021);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«Современная Россия: внутренние и внешние вызовы и ответы» (июнь 2021);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«Лучшие в образовании – 2021», организованного Объединением юридических лиц в форме ассоциации «Общенациональное движение «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Бобек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СНГ (сентябрь 2021);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«Трудовое законодательство России: новые вызовы и ответы» (октябрь 2021);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«Система подготовки и профессионального роста научно-педагогических кадров в Институте государственного администрирования» (октябрь 2021);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«Финансовая грамотность населения как условие развития гражданского общества» (ноябрь 2021);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«Трансформация России и российского общества под влиянием реформ и революций» (ноябрь 2021);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«Россия и Китай: современный опыт решения военно-политических и социально-экономических проблем» (декабрь 2021). 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Научно-педагогические работники института приняли участие </w:t>
      </w:r>
      <w:r w:rsidRPr="00F9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37</w:t>
      </w:r>
      <w:r w:rsidRPr="00F9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 научно-практических конференций,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. 15 -</w:t>
      </w:r>
      <w:r w:rsidRPr="00F97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уровня и 22 всероссийского и регионального масштаба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них следует упомянуть выступления </w:t>
      </w:r>
      <w:r w:rsidR="00F4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НПР института </w:t>
      </w:r>
      <w:r w:rsidRPr="00F97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конференциях: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международных:</w:t>
      </w:r>
    </w:p>
    <w:p w:rsidR="00F97F0A" w:rsidRDefault="00F97F0A" w:rsidP="00F97F0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Международная научно-практическая конференция «Актуальные проблемы науки административного и финансового права» (ЛАЗАРЕВСКИЕ ЧТЕНИЯ – 2021). Москва,10 февраля 2021 года;</w:t>
      </w:r>
    </w:p>
    <w:p w:rsidR="00F97F0A" w:rsidRPr="00F97F0A" w:rsidRDefault="00F97F0A" w:rsidP="00F97F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VIII Московский юридический форум «Социально-экономическое развитие и качество правовой среды»: МЕЖДУНАРОДНАЯ КОНФЕРЕНЦИЯ: «Публичная власть: новое измерение»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 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563006" w:rsidRDefault="00563006" w:rsidP="00F97F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F0A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Pr="00F97F0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97F0A">
        <w:rPr>
          <w:rFonts w:ascii="Times New Roman" w:hAnsi="Times New Roman" w:cs="Times New Roman"/>
          <w:sz w:val="24"/>
          <w:szCs w:val="24"/>
        </w:rPr>
        <w:t>I</w:t>
      </w:r>
      <w:r w:rsidRPr="00F97F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7F0A">
        <w:rPr>
          <w:rFonts w:ascii="Times New Roman" w:hAnsi="Times New Roman" w:cs="Times New Roman"/>
          <w:sz w:val="24"/>
          <w:szCs w:val="24"/>
        </w:rPr>
        <w:t xml:space="preserve">-я Международная научная конференция </w:t>
      </w:r>
      <w:r w:rsidRPr="00F97F0A">
        <w:rPr>
          <w:rStyle w:val="fio"/>
          <w:rFonts w:ascii="Times New Roman" w:hAnsi="Times New Roman" w:cs="Times New Roman"/>
          <w:sz w:val="24"/>
          <w:szCs w:val="24"/>
        </w:rPr>
        <w:t>«</w:t>
      </w:r>
      <w:r w:rsidRPr="00F97F0A">
        <w:rPr>
          <w:rFonts w:ascii="Times New Roman" w:hAnsi="Times New Roman" w:cs="Times New Roman"/>
          <w:sz w:val="24"/>
          <w:szCs w:val="24"/>
        </w:rPr>
        <w:t>Цивилизация знаний: российские реалии». Стратегическая панель «Цивилизационная роль права в условиях смены научно-технологической парадигмы» (г. Москва, 10 апреля 2021 г.);</w:t>
      </w:r>
    </w:p>
    <w:p w:rsidR="00F459D3" w:rsidRDefault="00F459D3" w:rsidP="00F97F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>-я Международная научно-практическая конференция «Державинские чтения».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Казань, 25-26 мая 2021 года;</w:t>
      </w:r>
    </w:p>
    <w:p w:rsidR="00F97F0A" w:rsidRPr="00F97F0A" w:rsidRDefault="00F97F0A" w:rsidP="00F97F0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Международная научно-практическая конференция "Патриотизм и образование: становление профессионала". Москва, 25 мая 2021 года;</w:t>
      </w:r>
    </w:p>
    <w:p w:rsidR="00F97F0A" w:rsidRPr="00F97F0A" w:rsidRDefault="00F97F0A" w:rsidP="00F97F0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Международная научно-практическая конференция «Публично-правовые средства </w:t>
      </w:r>
      <w:proofErr w:type="spellStart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цифровизации</w:t>
      </w:r>
      <w:proofErr w:type="spellEnd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и финансов». Москва, 24 июля 2021 года;</w:t>
      </w:r>
    </w:p>
    <w:p w:rsidR="00563006" w:rsidRPr="00F97F0A" w:rsidRDefault="00563006" w:rsidP="00F97F0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Международная научная конференция, посвященная 85-летию образования сектора административного права и административного процесса Федерального государственного бюджетного учреждения науки «Институт государства и права Российской академии наук» «85 ЛЕТ НА СЛУЖБЕ ГОСУДАРСТВУ И АКАДЕМИЧЕСКОЙ НАУКЕ». Москва, 20 октября 2021 года;</w:t>
      </w:r>
    </w:p>
    <w:p w:rsidR="00563006" w:rsidRDefault="00563006" w:rsidP="00F97F0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Международная научно-практическая конференция «Правовые и финансово-экономические средства достижения целей устойчивого развития". Москва,</w:t>
      </w:r>
      <w:r w:rsidR="00C13CAF"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28 октября 2021 года</w:t>
      </w:r>
      <w:r w:rsidR="00C13CAF" w:rsidRPr="00F97F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6ABB" w:rsidRDefault="00696ABB" w:rsidP="00F97F0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Международная научно-практическая конференция «Финансовая политика в условиях глобальных вызовов: приоритеты развития» (ФГБОУ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«Дагестанский государственный университет, г. Махачкала, Республика Дагестан), 01 декабря 2021 года; </w:t>
      </w:r>
    </w:p>
    <w:p w:rsidR="00C13CAF" w:rsidRPr="00F97F0A" w:rsidRDefault="00C13CAF" w:rsidP="00F97F0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II</w:t>
      </w:r>
      <w:r w:rsidR="00F97F0A">
        <w:rPr>
          <w:rFonts w:ascii="Times New Roman" w:eastAsia="Times New Roman" w:hAnsi="Times New Roman"/>
          <w:sz w:val="24"/>
          <w:szCs w:val="24"/>
          <w:lang w:eastAsia="ru-RU"/>
        </w:rPr>
        <w:t>-я</w:t>
      </w: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МЕЖДУНАРОДНАЯ МЕЖВУЗОВСКАЯ НАУЧНО-ПРАКТИЧЕСКАЯ КОНФЕРЕНЦИЯ «ПРОБЛЕМЫ МЕЖОТРАСЛЕВЫХ СВЯЗЕЙ ЮРИДИЧЕСКИХ НАУК». Москва, 14 декабря 2021 года;</w:t>
      </w:r>
    </w:p>
    <w:p w:rsidR="00563006" w:rsidRPr="00F97F0A" w:rsidRDefault="00563006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всероссийских:</w:t>
      </w:r>
    </w:p>
    <w:p w:rsidR="00F97F0A" w:rsidRPr="00A248E6" w:rsidRDefault="00F97F0A" w:rsidP="00A248E6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8E6">
        <w:rPr>
          <w:rFonts w:ascii="Times New Roman" w:eastAsia="Times New Roman" w:hAnsi="Times New Roman"/>
          <w:sz w:val="24"/>
          <w:szCs w:val="24"/>
          <w:lang w:eastAsia="ru-RU"/>
        </w:rPr>
        <w:t>V-я Всероссийская научно-практическая конференция «Экономика отраслевых рынков: формирование, практика и развитие». Москва, 21 января 2021 года;</w:t>
      </w:r>
    </w:p>
    <w:p w:rsidR="00F97F0A" w:rsidRPr="00A248E6" w:rsidRDefault="00A248E6" w:rsidP="00A248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«Тенденции развития государства, права и политики в России и мире». </w:t>
      </w:r>
      <w:proofErr w:type="gramStart"/>
      <w:r w:rsidRPr="00A248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A248E6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Калуга, 30 апреля 2021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3115C9" w:rsidRPr="003115C9" w:rsidRDefault="003115C9" w:rsidP="003115C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5C9">
        <w:rPr>
          <w:rFonts w:ascii="Times New Roman" w:hAnsi="Times New Roman" w:cs="Times New Roman"/>
          <w:sz w:val="24"/>
          <w:szCs w:val="24"/>
        </w:rPr>
        <w:t>Всероссийский форум популяризаторов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5C9">
        <w:rPr>
          <w:rFonts w:ascii="Times New Roman" w:hAnsi="Times New Roman" w:cs="Times New Roman"/>
          <w:sz w:val="24"/>
          <w:szCs w:val="24"/>
          <w:lang w:val="en-US"/>
        </w:rPr>
        <w:t>NAUKA</w:t>
      </w:r>
      <w:r w:rsidRPr="003115C9">
        <w:rPr>
          <w:rFonts w:ascii="Times New Roman" w:hAnsi="Times New Roman" w:cs="Times New Roman"/>
          <w:sz w:val="24"/>
          <w:szCs w:val="24"/>
        </w:rPr>
        <w:t xml:space="preserve"> 0+ 2021</w:t>
      </w:r>
      <w:r>
        <w:rPr>
          <w:rFonts w:ascii="Times New Roman" w:hAnsi="Times New Roman" w:cs="Times New Roman"/>
          <w:sz w:val="24"/>
          <w:szCs w:val="24"/>
        </w:rPr>
        <w:t xml:space="preserve"> (18 апреля 2021 г., г. Москва).</w:t>
      </w:r>
    </w:p>
    <w:p w:rsidR="00FF753A" w:rsidRPr="00F97F0A" w:rsidRDefault="00FF753A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региональных</w:t>
      </w:r>
      <w:r w:rsidR="00563006"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(межвузовских)</w:t>
      </w:r>
      <w:r w:rsidRPr="00F9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63006" w:rsidRDefault="00563006" w:rsidP="00F459D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III межвузовская научная конференция и круглый стол «</w:t>
      </w:r>
      <w:proofErr w:type="gramStart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Бизнес-модели</w:t>
      </w:r>
      <w:proofErr w:type="gramEnd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концепции </w:t>
      </w:r>
      <w:proofErr w:type="spellStart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Smart</w:t>
      </w:r>
      <w:proofErr w:type="spellEnd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City</w:t>
      </w:r>
      <w:proofErr w:type="spellEnd"/>
      <w:r w:rsidRPr="00F97F0A">
        <w:rPr>
          <w:rFonts w:ascii="Times New Roman" w:eastAsia="Times New Roman" w:hAnsi="Times New Roman"/>
          <w:sz w:val="24"/>
          <w:szCs w:val="24"/>
          <w:lang w:eastAsia="ru-RU"/>
        </w:rPr>
        <w:t>: европейский опыт». Москва, 01 февраля 2021 года;</w:t>
      </w:r>
    </w:p>
    <w:p w:rsidR="00A248E6" w:rsidRPr="00F97F0A" w:rsidRDefault="00A248E6" w:rsidP="00F459D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«Права и законные интересы несовершеннолетних». Научно-практическая конференция, посвященная 10-летию создания института Уполномоченного по правам ребенка в Калужской области. Калуга, 11-12 мая 2021 года; </w:t>
      </w:r>
    </w:p>
    <w:p w:rsidR="00563006" w:rsidRPr="00F97F0A" w:rsidRDefault="00563006" w:rsidP="00F97F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8E6" w:rsidRPr="00B9325A" w:rsidRDefault="00A248E6" w:rsidP="00A248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институте стало традицией проведение 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массовых студенческих мероприятий: Всероссийская научная студенческая конференция, Неделя науки.</w:t>
      </w:r>
    </w:p>
    <w:p w:rsidR="00A248E6" w:rsidRDefault="00A248E6" w:rsidP="00A24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48E6" w:rsidRPr="00B9325A" w:rsidRDefault="00A248E6" w:rsidP="00A24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Предложения:</w:t>
      </w:r>
    </w:p>
    <w:p w:rsidR="00A248E6" w:rsidRPr="00B9325A" w:rsidRDefault="00A248E6" w:rsidP="00A248E6">
      <w:pPr>
        <w:numPr>
          <w:ilvl w:val="0"/>
          <w:numId w:val="3"/>
        </w:numPr>
        <w:tabs>
          <w:tab w:val="num" w:pos="0"/>
          <w:tab w:val="num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 что состояние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-исследовательской 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Институте государственного администрирования в целом 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о-правовы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документов и находится на удовлетворительном уровне.</w:t>
      </w:r>
    </w:p>
    <w:p w:rsidR="00A248E6" w:rsidRPr="00B9325A" w:rsidRDefault="00A248E6" w:rsidP="00A248E6">
      <w:pPr>
        <w:numPr>
          <w:ilvl w:val="0"/>
          <w:numId w:val="3"/>
        </w:numPr>
        <w:tabs>
          <w:tab w:val="num" w:pos="0"/>
          <w:tab w:val="num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по научной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(В.В. Орлов) 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проректору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</w:t>
      </w:r>
      <w:r w:rsidRPr="00B9325A">
        <w:rPr>
          <w:rFonts w:ascii="Times New Roman" w:hAnsi="Times New Roman" w:cs="Times New Roman"/>
          <w:sz w:val="24"/>
          <w:szCs w:val="24"/>
        </w:rPr>
        <w:t xml:space="preserve">собое внимание на соблюдение лицензионных и </w:t>
      </w:r>
      <w:proofErr w:type="spellStart"/>
      <w:r w:rsidRPr="00B9325A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B9325A">
        <w:rPr>
          <w:rFonts w:ascii="Times New Roman" w:hAnsi="Times New Roman" w:cs="Times New Roman"/>
          <w:sz w:val="24"/>
          <w:szCs w:val="24"/>
        </w:rPr>
        <w:t xml:space="preserve"> нормативов и требований, наполнению реальным </w:t>
      </w:r>
      <w:r w:rsidR="00F459D3">
        <w:rPr>
          <w:rFonts w:ascii="Times New Roman" w:hAnsi="Times New Roman" w:cs="Times New Roman"/>
          <w:sz w:val="24"/>
          <w:szCs w:val="24"/>
        </w:rPr>
        <w:t xml:space="preserve">научным и </w:t>
      </w:r>
      <w:r w:rsidRPr="00B9325A">
        <w:rPr>
          <w:rFonts w:ascii="Times New Roman" w:hAnsi="Times New Roman" w:cs="Times New Roman"/>
          <w:sz w:val="24"/>
          <w:szCs w:val="24"/>
        </w:rPr>
        <w:t xml:space="preserve">учебным содержанием Приказа </w:t>
      </w:r>
      <w:proofErr w:type="spellStart"/>
      <w:r w:rsidRPr="00B9325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9325A">
        <w:rPr>
          <w:rFonts w:ascii="Times New Roman" w:hAnsi="Times New Roman" w:cs="Times New Roman"/>
          <w:sz w:val="24"/>
          <w:szCs w:val="24"/>
        </w:rPr>
        <w:t xml:space="preserve"> № 9 от 13.01.2020 «О государственной аккредитации образовательной деятельности Частного учреждения высшего образования «Институт государственного администрирования».</w:t>
      </w:r>
    </w:p>
    <w:p w:rsidR="00A248E6" w:rsidRPr="00B9325A" w:rsidRDefault="00A248E6" w:rsidP="00A248E6">
      <w:pPr>
        <w:numPr>
          <w:ilvl w:val="0"/>
          <w:numId w:val="3"/>
        </w:numPr>
        <w:tabs>
          <w:tab w:val="left" w:pos="142"/>
        </w:tabs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работе:</w:t>
      </w:r>
    </w:p>
    <w:p w:rsidR="00A248E6" w:rsidRDefault="00A248E6" w:rsidP="00A248E6">
      <w:pPr>
        <w:tabs>
          <w:tab w:val="left" w:pos="142"/>
        </w:tabs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действенные 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повышению результативности научно-исследовательской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 сотрудников в условиях угрозы распространения пандемии;</w:t>
      </w:r>
    </w:p>
    <w:p w:rsidR="00A248E6" w:rsidRPr="00B9325A" w:rsidRDefault="00A248E6" w:rsidP="00A248E6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постоянную 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научно-педагогическими работниками в части их регистрации в </w:t>
      </w:r>
      <w:proofErr w:type="spellStart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РИНЦе</w:t>
      </w:r>
      <w:proofErr w:type="spellEnd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платформе </w:t>
      </w:r>
      <w:proofErr w:type="spellStart"/>
      <w:r w:rsidRPr="00B9325A">
        <w:rPr>
          <w:rFonts w:ascii="Tahoma" w:eastAsia="Times New Roman" w:hAnsi="Tahoma" w:cs="Tahoma"/>
          <w:sz w:val="18"/>
          <w:szCs w:val="18"/>
          <w:lang w:eastAsia="ru-RU"/>
        </w:rPr>
        <w:t>Science</w:t>
      </w:r>
      <w:proofErr w:type="spellEnd"/>
      <w:r w:rsidRPr="00B9325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spellStart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proofErr w:type="spellEnd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31 штатного состава научно-педагогических работников зарегистрировано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или </w:t>
      </w:r>
      <w:r w:rsidR="004B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35,5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B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НПР</w:t>
      </w:r>
      <w:bookmarkStart w:id="2" w:name="_GoBack"/>
      <w:bookmarkEnd w:id="2"/>
      <w:proofErr w:type="gramStart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);.</w:t>
      </w:r>
      <w:proofErr w:type="gramEnd"/>
    </w:p>
    <w:p w:rsidR="00B8116E" w:rsidRDefault="00A248E6" w:rsidP="00A248E6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по расширению научных контактов с вузами Москвы, Московской области и других регионов по вопросам проведения совместных научных исследований, конференций, семинаров, «круглых столов» и др. мероприятий</w:t>
      </w:r>
      <w:r w:rsidR="00B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248E6" w:rsidRPr="00B9325A" w:rsidRDefault="00B8116E" w:rsidP="00A248E6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наладить конструктивное и деловое научное сотрудничество с вузами и научными учреждениями стран Ближнего и Дальнего Зарубежья</w:t>
      </w:r>
      <w:r w:rsidR="00311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8E6" w:rsidRPr="00B9325A" w:rsidRDefault="00A248E6" w:rsidP="00A248E6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включать сборники статей и другие научные публикации научно-педагогических работников института в национальную библиографическую базу данных научного цитирования «Российский индекс научного цитирования» (РИНЦ).</w:t>
      </w:r>
    </w:p>
    <w:p w:rsidR="00A248E6" w:rsidRPr="00B9325A" w:rsidRDefault="00A248E6" w:rsidP="00A248E6">
      <w:pPr>
        <w:numPr>
          <w:ilvl w:val="0"/>
          <w:numId w:val="3"/>
        </w:numPr>
        <w:tabs>
          <w:tab w:val="num" w:pos="284"/>
        </w:tabs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кафедрами, деканам факультетов и руководителям научно-педагогических подразделений усилить работу по повышению </w:t>
      </w:r>
      <w:proofErr w:type="spellStart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научно-педагогических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структурных подразделений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8E6" w:rsidRPr="00B9325A" w:rsidRDefault="00A248E6" w:rsidP="00A248E6">
      <w:pPr>
        <w:numPr>
          <w:ilvl w:val="0"/>
          <w:numId w:val="3"/>
        </w:numPr>
        <w:tabs>
          <w:tab w:val="num" w:pos="0"/>
        </w:tabs>
        <w:spacing w:before="240" w:after="240" w:line="36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 института усилить работу по проведению инициативных научно-исследовательских работ, оформлению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явок на различные гранты (Фонд П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резидентских грантов, </w:t>
      </w:r>
      <w:proofErr w:type="spellStart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Министерство науки и высшего образования, Правительство Москвы и др.). </w:t>
      </w:r>
    </w:p>
    <w:p w:rsidR="002C562E" w:rsidRDefault="002C562E" w:rsidP="002C56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62E" w:rsidRPr="003115C9" w:rsidRDefault="002C562E" w:rsidP="002C562E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15C9">
        <w:rPr>
          <w:rFonts w:ascii="Times New Roman" w:hAnsi="Times New Roman" w:cs="Times New Roman"/>
          <w:b/>
          <w:i/>
          <w:sz w:val="24"/>
          <w:szCs w:val="24"/>
        </w:rPr>
        <w:t xml:space="preserve">Научно-исследовательский отдел </w:t>
      </w:r>
    </w:p>
    <w:p w:rsidR="00A248E6" w:rsidRDefault="00A248E6" w:rsidP="00A248E6">
      <w:pPr>
        <w:spacing w:before="240" w:after="24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</w:p>
    <w:p w:rsidR="00A248E6" w:rsidRPr="00B9325A" w:rsidRDefault="00A248E6" w:rsidP="00A248E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авторов в сборнике статей </w:t>
      </w:r>
      <w:r w:rsidR="00C949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Великая Отечественная война 1941-1945 гг. и советское общество: </w:t>
      </w:r>
      <w:proofErr w:type="spellStart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социогуманитарное</w:t>
      </w:r>
      <w:proofErr w:type="spellEnd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измерение: Сб. науч. тр. Всероссийской </w:t>
      </w:r>
      <w:proofErr w:type="spellStart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</w:t>
      </w:r>
      <w:proofErr w:type="spellEnd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.- </w:t>
      </w:r>
      <w:proofErr w:type="spellStart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</w:t>
      </w:r>
      <w:proofErr w:type="spellEnd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</w:t>
      </w:r>
      <w:proofErr w:type="spellEnd"/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., посвященной 80-летию начала Великой Отечественной войны 1941-1945 гг.</w:t>
      </w:r>
      <w:r w:rsidR="00C94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 июня 2021 г., г. Москва. М.: Издательско-торговая корпорация «Дашков и К», 2021. -292 с.</w:t>
      </w:r>
    </w:p>
    <w:p w:rsidR="00C949AE" w:rsidRPr="00F97F0A" w:rsidRDefault="00A248E6" w:rsidP="00C94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авторов в сборнике статей «</w:t>
      </w:r>
      <w:r w:rsidR="00C949AE" w:rsidRPr="00F97F0A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>Распад СССР: причины, ход, последствия (к 30-летию цивилизационной катастрофы</w:t>
      </w:r>
      <w:r w:rsidR="00C949AE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>)»:</w:t>
      </w:r>
      <w:r w:rsidR="00C949AE" w:rsidRPr="00F97F0A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 xml:space="preserve"> </w:t>
      </w:r>
      <w:r w:rsidR="00C949AE"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сб. науч. тр. </w:t>
      </w:r>
      <w:proofErr w:type="spellStart"/>
      <w:r w:rsidR="00C949AE"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Всерос</w:t>
      </w:r>
      <w:proofErr w:type="spellEnd"/>
      <w:r w:rsidR="00C949AE"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 науч</w:t>
      </w:r>
      <w:proofErr w:type="gramStart"/>
      <w:r w:rsidR="00C949AE"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.-</w:t>
      </w:r>
      <w:proofErr w:type="spellStart"/>
      <w:proofErr w:type="gramEnd"/>
      <w:r w:rsidR="00C949AE"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практ</w:t>
      </w:r>
      <w:proofErr w:type="spellEnd"/>
      <w:r w:rsidR="00C949AE"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 xml:space="preserve">. </w:t>
      </w:r>
      <w:proofErr w:type="spellStart"/>
      <w:r w:rsidR="00C949AE" w:rsidRPr="00F97F0A">
        <w:rPr>
          <w:rFonts w:ascii="Times New Roman" w:hAnsi="Times New Roman" w:cs="Times New Roman"/>
          <w:b/>
          <w:color w:val="00000A"/>
          <w:spacing w:val="-2"/>
          <w:sz w:val="24"/>
          <w:szCs w:val="24"/>
        </w:rPr>
        <w:t>конф</w:t>
      </w:r>
      <w:proofErr w:type="spellEnd"/>
      <w:r w:rsidR="00C949AE" w:rsidRPr="00F97F0A">
        <w:rPr>
          <w:rFonts w:ascii="Times New Roman" w:hAnsi="Times New Roman" w:cs="Times New Roman"/>
          <w:b/>
          <w:color w:val="00000A"/>
          <w:spacing w:val="-4"/>
          <w:sz w:val="24"/>
          <w:szCs w:val="24"/>
        </w:rPr>
        <w:t>. 18 ноября 2021 г.,</w:t>
      </w:r>
      <w:r w:rsidR="00C949AE" w:rsidRPr="00F97F0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г. Москва. М.: </w:t>
      </w:r>
      <w:r w:rsidR="00C949AE" w:rsidRPr="00F9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Издательско-торговая корпорация «Дашков и К»,</w:t>
      </w:r>
      <w:r w:rsidR="00C949AE" w:rsidRPr="00F97F0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2021. - 290 с.</w:t>
      </w:r>
    </w:p>
    <w:p w:rsidR="00A248E6" w:rsidRDefault="00A248E6" w:rsidP="00A248E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НИР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научно-педагогических работников, зав. кафедрами, деканов факультетов, директоров филиалов и представительств;</w:t>
      </w:r>
    </w:p>
    <w:p w:rsidR="00F459D3" w:rsidRPr="00B9325A" w:rsidRDefault="00F459D3" w:rsidP="00F459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скан из </w:t>
      </w:r>
      <w:hyperlink r:id="rId20" w:history="1">
        <w:r w:rsidRPr="00B93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страницы института</w:t>
        </w:r>
        <w:r w:rsidR="005500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93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eLIBRARY.RU</w:t>
        </w:r>
      </w:hyperlink>
    </w:p>
    <w:p w:rsidR="00A248E6" w:rsidRPr="00B9325A" w:rsidRDefault="00A248E6" w:rsidP="00A248E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краткий отчет о реализации грантов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</w:t>
      </w:r>
      <w:r w:rsidR="00550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9AE" w:rsidRDefault="00C949AE" w:rsidP="00A248E6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9AE" w:rsidRDefault="00C949AE" w:rsidP="00A248E6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8E6" w:rsidRPr="00B9325A" w:rsidRDefault="00A248E6" w:rsidP="00A248E6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отдел</w:t>
      </w:r>
    </w:p>
    <w:p w:rsidR="00A248E6" w:rsidRPr="00B9325A" w:rsidRDefault="00A248E6" w:rsidP="00A248E6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15.03.2022</w:t>
      </w:r>
    </w:p>
    <w:p w:rsidR="00A248E6" w:rsidRPr="00A248E6" w:rsidRDefault="00A248E6" w:rsidP="006F5B4E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248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Приложение 1</w:t>
      </w:r>
    </w:p>
    <w:p w:rsidR="00A248E6" w:rsidRPr="00A248E6" w:rsidRDefault="00A248E6" w:rsidP="006F5B4E">
      <w:pPr>
        <w:spacing w:after="0"/>
        <w:ind w:firstLine="851"/>
        <w:jc w:val="both"/>
        <w:rPr>
          <w:rFonts w:ascii="Bookman Old Style" w:hAnsi="Bookman Old Style" w:cs="Times New Roman"/>
          <w:b/>
          <w:iCs/>
          <w:kern w:val="36"/>
          <w:sz w:val="20"/>
          <w:szCs w:val="20"/>
          <w:lang w:eastAsia="ru-RU"/>
        </w:rPr>
      </w:pPr>
      <w:r w:rsidRPr="00A248E6">
        <w:rPr>
          <w:rFonts w:ascii="Times New Roman" w:hAnsi="Times New Roman" w:cs="Times New Roman"/>
          <w:color w:val="00000A"/>
          <w:spacing w:val="-4"/>
          <w:sz w:val="20"/>
          <w:szCs w:val="20"/>
        </w:rPr>
        <w:t>Великая</w:t>
      </w:r>
      <w:r w:rsidRPr="00A248E6">
        <w:rPr>
          <w:rFonts w:ascii="Times New Roman" w:hAnsi="Times New Roman" w:cs="Times New Roman"/>
          <w:b/>
          <w:color w:val="00000A"/>
          <w:spacing w:val="-4"/>
          <w:sz w:val="20"/>
          <w:szCs w:val="20"/>
        </w:rPr>
        <w:t xml:space="preserve"> </w:t>
      </w:r>
      <w:r w:rsidRPr="00A248E6">
        <w:rPr>
          <w:rFonts w:ascii="Times New Roman" w:hAnsi="Times New Roman" w:cs="Times New Roman"/>
          <w:color w:val="00000A"/>
          <w:spacing w:val="-4"/>
          <w:sz w:val="20"/>
          <w:szCs w:val="20"/>
        </w:rPr>
        <w:t xml:space="preserve">Отечественная война 1941–1945 гг. и советское общество: </w:t>
      </w:r>
      <w:proofErr w:type="spellStart"/>
      <w:r w:rsidRPr="00A248E6">
        <w:rPr>
          <w:rFonts w:ascii="Times New Roman" w:hAnsi="Times New Roman" w:cs="Times New Roman"/>
          <w:color w:val="00000A"/>
          <w:spacing w:val="-4"/>
          <w:sz w:val="20"/>
          <w:szCs w:val="20"/>
        </w:rPr>
        <w:t>социогуманитарное</w:t>
      </w:r>
      <w:proofErr w:type="spellEnd"/>
      <w:r w:rsidRPr="00A248E6">
        <w:rPr>
          <w:rFonts w:ascii="Times New Roman" w:hAnsi="Times New Roman" w:cs="Times New Roman"/>
          <w:color w:val="00000A"/>
          <w:spacing w:val="-4"/>
          <w:sz w:val="20"/>
          <w:szCs w:val="20"/>
        </w:rPr>
        <w:t xml:space="preserve"> измерение: </w:t>
      </w:r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 xml:space="preserve">сб. науч. тр. </w:t>
      </w:r>
      <w:proofErr w:type="spellStart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>Всерос</w:t>
      </w:r>
      <w:proofErr w:type="spellEnd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>. науч</w:t>
      </w:r>
      <w:proofErr w:type="gramStart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>.-</w:t>
      </w:r>
      <w:proofErr w:type="spellStart"/>
      <w:proofErr w:type="gramEnd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>практ</w:t>
      </w:r>
      <w:proofErr w:type="spellEnd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 xml:space="preserve">. </w:t>
      </w:r>
      <w:proofErr w:type="spellStart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>конф</w:t>
      </w:r>
      <w:proofErr w:type="spellEnd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 xml:space="preserve">., </w:t>
      </w:r>
      <w:proofErr w:type="spellStart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>посв</w:t>
      </w:r>
      <w:proofErr w:type="spellEnd"/>
      <w:r w:rsidRPr="00A248E6">
        <w:rPr>
          <w:rFonts w:ascii="Times New Roman" w:hAnsi="Times New Roman" w:cs="Times New Roman"/>
          <w:color w:val="00000A"/>
          <w:spacing w:val="-2"/>
          <w:sz w:val="20"/>
          <w:szCs w:val="20"/>
        </w:rPr>
        <w:t xml:space="preserve">. </w:t>
      </w:r>
      <w:r w:rsidRPr="00A248E6">
        <w:rPr>
          <w:rFonts w:ascii="Times New Roman" w:hAnsi="Times New Roman" w:cs="Times New Roman"/>
          <w:color w:val="00000A"/>
          <w:spacing w:val="-4"/>
          <w:sz w:val="20"/>
          <w:szCs w:val="20"/>
        </w:rPr>
        <w:t>80-летию начала Великой Отечественной войны. 17 июня 2021 г.,</w:t>
      </w:r>
      <w:r w:rsidRPr="00A248E6">
        <w:rPr>
          <w:rFonts w:ascii="Times New Roman" w:hAnsi="Times New Roman" w:cs="Times New Roman"/>
          <w:color w:val="00000A"/>
          <w:sz w:val="20"/>
          <w:szCs w:val="20"/>
        </w:rPr>
        <w:t xml:space="preserve"> г. Москва. М.: Издательско-торговая корпорация «Дашков и К», 2021. 292 с.</w:t>
      </w:r>
    </w:p>
    <w:p w:rsidR="00A248E6" w:rsidRPr="00A248E6" w:rsidRDefault="00A248E6" w:rsidP="00A248E6">
      <w:pPr>
        <w:spacing w:after="0" w:line="360" w:lineRule="auto"/>
        <w:ind w:firstLine="397"/>
        <w:jc w:val="center"/>
        <w:outlineLvl w:val="0"/>
        <w:rPr>
          <w:rFonts w:ascii="Bookman Old Style" w:hAnsi="Bookman Old Style" w:cs="Times New Roman"/>
          <w:b/>
          <w:iCs/>
          <w:kern w:val="36"/>
          <w:sz w:val="20"/>
          <w:szCs w:val="20"/>
          <w:lang w:eastAsia="ru-RU"/>
        </w:rPr>
      </w:pPr>
      <w:r w:rsidRPr="00A248E6">
        <w:rPr>
          <w:rFonts w:ascii="Bookman Old Style" w:hAnsi="Bookman Old Style" w:cs="Times New Roman"/>
          <w:b/>
          <w:iCs/>
          <w:kern w:val="36"/>
          <w:sz w:val="20"/>
          <w:szCs w:val="20"/>
          <w:lang w:eastAsia="ru-RU"/>
        </w:rPr>
        <w:t>СОДЕРЖАНИЕ</w:t>
      </w:r>
    </w:p>
    <w:tbl>
      <w:tblPr>
        <w:tblStyle w:val="2"/>
        <w:tblW w:w="61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720"/>
      </w:tblGrid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  <w:r w:rsidRPr="00A248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 участникам </w:t>
            </w:r>
            <w:r w:rsidRPr="00A248E6"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  <w:t xml:space="preserve">Всероссийской научно-практической конференции, посвященной 80-летию начала Великой Отечественной войны 1941-1945 гг. «Великая отечественная война 1941–1945 гг. и советское общество: </w:t>
            </w:r>
            <w:proofErr w:type="spellStart"/>
            <w:r w:rsidRPr="00A248E6"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  <w:t>социогуманитарное</w:t>
            </w:r>
            <w:proofErr w:type="spellEnd"/>
            <w:r w:rsidRPr="00A248E6"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  <w:t xml:space="preserve"> измерение»…..................</w:t>
            </w:r>
          </w:p>
          <w:p w:rsidR="00A248E6" w:rsidRPr="00A248E6" w:rsidRDefault="00A248E6" w:rsidP="002C562E">
            <w:pPr>
              <w:jc w:val="both"/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</w:pP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ПРЕДИСЛОВИЕ…………………………………………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tabs>
                <w:tab w:val="left" w:pos="1188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. ДОКЛАДЫ И ВЫСТУПЛЕНИЯ </w:t>
            </w:r>
          </w:p>
          <w:p w:rsidR="00A248E6" w:rsidRPr="00A248E6" w:rsidRDefault="00A248E6" w:rsidP="002C562E">
            <w:pPr>
              <w:tabs>
                <w:tab w:val="left" w:pos="1188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ПЛЕНАРНОГО ЗАСЕДАНИЯ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tabs>
                <w:tab w:val="left" w:pos="1188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Тараканов А.В., Орлов В.В.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К вопросу о боеспособности и боеготовности Красной армии в июне 1941 года</w:t>
            </w:r>
            <w:proofErr w:type="gram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20" w:type="dxa"/>
          </w:tcPr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tabs>
                <w:tab w:val="left" w:pos="118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Орлов В.В.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Великая Отечественная война 1941–1945 годов и советское общество: к проблеме </w:t>
            </w:r>
            <w:proofErr w:type="spell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социогуманитарного</w:t>
            </w:r>
            <w:proofErr w:type="spellEnd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измерения……………………..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tabs>
                <w:tab w:val="left" w:pos="118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>Беккерман</w:t>
            </w:r>
            <w:proofErr w:type="spellEnd"/>
            <w:r w:rsidRPr="00A248E6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  <w:lang w:eastAsia="ru-RU"/>
              </w:rPr>
              <w:t xml:space="preserve"> П.Б.</w:t>
            </w:r>
            <w:r w:rsidRPr="00A248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Песенный ресурс в сохранении памяти о Великой Победе: актуальные аспекты в современных условиях…………………………………………………...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Кошкина О.А.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Уроженцы и жители Марийской АССР на фронтах Великой Отечественной войны: к вопросу персонификации локальной истории…………………...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Сабуров Л.Д.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Репрезентация Великой Отечественной войны 1941–1945 гг. в Центральном музее Вооруженных Сил Российской Федерации………………………..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Сергеев Т.С., </w:t>
            </w: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Агаева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/>
                <w:sz w:val="20"/>
                <w:szCs w:val="20"/>
              </w:rPr>
              <w:t>Творческая интеллигенция Чувашии периода Великой Отечественной войны – хранительница этнокультуры народа…………………...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Тараканов А.В., </w:t>
            </w:r>
            <w:proofErr w:type="spellStart"/>
            <w:r w:rsidRPr="00A248E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Тышковский</w:t>
            </w:r>
            <w:proofErr w:type="spellEnd"/>
            <w:r w:rsidRPr="00A248E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А.В., </w:t>
            </w:r>
            <w:proofErr w:type="spellStart"/>
            <w:r w:rsidRPr="00A248E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Ускова</w:t>
            </w:r>
            <w:proofErr w:type="spellEnd"/>
            <w:r w:rsidRPr="00A248E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Д.Н.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Субъектность</w:t>
            </w:r>
            <w:proofErr w:type="spellEnd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человеческого капитала в экстремальных условиях…………………………..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Чернецов Б.И.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Бой у реки </w:t>
            </w:r>
            <w:proofErr w:type="spell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Ахвен-оя</w:t>
            </w:r>
            <w:proofErr w:type="spellEnd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и его роль в боях на Приморском направлении в ходе Советско-финляндской войны 1939–1940 годов…………………..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Черников В.В.</w:t>
            </w:r>
            <w:r w:rsidRPr="00A24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Проблема пересмотра результатов Великой Отечественной войны. Системный подход.........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Default="00A248E6" w:rsidP="002C562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. ПРОБЛЕМЫ СОЦИАЛЬНО-ГУМАНИ-ТАРНОЙ ОЦЕНКИ ВЕЛИКОЙ ОТЕЧЕСТВЕННОЙ ВОЙНЫ И СОВРЕМЕННОСТЬ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Бегимов</w:t>
            </w:r>
            <w:proofErr w:type="spellEnd"/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А.Т.</w:t>
            </w:r>
            <w:r w:rsidRPr="00A248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Концепция коллаборационизма в СССР: сущность, типология, правовой аспект…………………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  <w:t>110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Ван </w:t>
            </w: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Жунбинь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Миф о превентивности Второй мировой войны как проблема фальсификации истории…………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  <w:t>116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Геворгян</w:t>
            </w:r>
            <w:proofErr w:type="spellEnd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Ж.А., </w:t>
            </w:r>
            <w:proofErr w:type="spellStart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Астремский</w:t>
            </w:r>
            <w:proofErr w:type="spellEnd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А.Д., </w:t>
            </w:r>
            <w:proofErr w:type="spellStart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Ковнерев</w:t>
            </w:r>
            <w:proofErr w:type="spellEnd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М.А.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Военный фактор в экономических преобразованиях государства (историко-теоретический аспект)……...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  <w:t>120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Дениз</w:t>
            </w:r>
            <w:proofErr w:type="spellEnd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С., </w:t>
            </w:r>
            <w:proofErr w:type="spellStart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Товни</w:t>
            </w:r>
            <w:proofErr w:type="spellEnd"/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Е.М.,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Карпова К.В.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Анализ современной проблематики функционирования предприятий оборонно-промышленного комплекса в интересах обеспечения безопасности Российской Федерации в условиях возрастания геополитических угроз…………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  <w:t>127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Иванова Е.А.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Холодная война как прототип современных геополитических отношений между Россией и коллективным Западом……………..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Кабанов Н.С., Гаврилова Т.В., Карпов А.С.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Актуальные </w:t>
            </w:r>
            <w:r w:rsidRPr="00A24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вопросы финансового обеспечения обороноспособности Российской Федерации……………………….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4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A248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 xml:space="preserve">Комарова Н.В., </w:t>
            </w:r>
            <w:proofErr w:type="spellStart"/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Ковнерев</w:t>
            </w:r>
            <w:proofErr w:type="spellEnd"/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М.А.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Исторические аспекты становления и развития военного производства в России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4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Мао </w:t>
            </w: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Цзяхуэй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как инструмент сохранения исторической памяти о Великой Отечественной войны в интернет-пространстве………………..</w:t>
            </w:r>
            <w:proofErr w:type="gramEnd"/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Петушков И.И., </w:t>
            </w:r>
            <w:proofErr w:type="spellStart"/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Ковнерев</w:t>
            </w:r>
            <w:proofErr w:type="spellEnd"/>
            <w:r w:rsidRPr="00A248E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М.А.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Современное состояние и перспективы развития военного производства в интересах укрепления обороноспособности Российской Федерации…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Разин Л.А. </w:t>
            </w:r>
            <w:r w:rsidRPr="00A248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социально-психологической помощи участникам боевых действий…………………...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A248E6" w:rsidRPr="00A248E6" w:rsidTr="002C562E">
        <w:trPr>
          <w:trHeight w:val="227"/>
        </w:trPr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Сазонова Н.С.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Краеугольные камни ядерно-космической эры…………………………………………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eastAsia="Calibri" w:hAnsi="Times New Roman" w:cs="Times New Roman"/>
                <w:bCs/>
                <w:i/>
                <w:spacing w:val="-2"/>
                <w:sz w:val="20"/>
                <w:szCs w:val="20"/>
              </w:rPr>
              <w:t>Салмина</w:t>
            </w:r>
            <w:proofErr w:type="spellEnd"/>
            <w:r w:rsidRPr="00A248E6">
              <w:rPr>
                <w:rFonts w:ascii="Times New Roman" w:eastAsia="Calibri" w:hAnsi="Times New Roman" w:cs="Times New Roman"/>
                <w:bCs/>
                <w:i/>
                <w:spacing w:val="-2"/>
                <w:sz w:val="20"/>
                <w:szCs w:val="20"/>
              </w:rPr>
              <w:t xml:space="preserve"> О.В.</w:t>
            </w:r>
            <w:r w:rsidRPr="00A248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Формирование образа врага в условиях мировых военных конфликтов: качественный сравнительный анализ………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Сафронов А.В.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Тенденции изменения российского общества под влиянием войн…………………....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>Смирнов С.С., Хачатурян М.В., Филипченко А.М.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Финансовые войны как новые вызовы в системе современного противоборства…………………….……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Стенякин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Р.А.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Роль духовно-нравственной культуры советского общества в победе над фашизмом…………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>Сяо</w:t>
            </w:r>
            <w:proofErr w:type="spellEnd"/>
            <w:r w:rsidRPr="00A248E6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 xml:space="preserve"> М., </w:t>
            </w:r>
            <w:proofErr w:type="spellStart"/>
            <w:r w:rsidRPr="00A248E6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>Часовской</w:t>
            </w:r>
            <w:proofErr w:type="spellEnd"/>
            <w:r w:rsidRPr="00A248E6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 xml:space="preserve"> В.П., </w:t>
            </w:r>
            <w:proofErr w:type="spellStart"/>
            <w:r w:rsidRPr="00A248E6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>Продченко</w:t>
            </w:r>
            <w:proofErr w:type="spellEnd"/>
            <w:r w:rsidRPr="00A248E6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 xml:space="preserve"> И.А.</w: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Экономические войны в условиях глобализации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Шекова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Общественные инициативы как результат влияния Первой мировой войны на социум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Юрчихин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Тенденции развития отечественной культуры под влиянием мировых войн…………………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. ТРУДЫ МОЛОДЫХ УЧЕНЫХ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Волкова А.А.</w:t>
            </w:r>
            <w:r w:rsidRPr="00A248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Правовое регулирование брачного договора по законодательству Российской Федерации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Волкова А.А.</w:t>
            </w:r>
            <w:r w:rsidRPr="00A248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Правовое регулирование защиты прав потребителей в Российской Федерации………………...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48E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>Елохов В.В.</w:t>
            </w:r>
            <w:r w:rsidRPr="00A248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Изучение </w:t>
            </w:r>
            <w:proofErr w:type="spellStart"/>
            <w:r w:rsidRPr="00A248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цифровизации</w:t>
            </w:r>
            <w:proofErr w:type="spellEnd"/>
            <w:r w:rsidRPr="00A248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образования…….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48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240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Коленцова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В.В., </w:t>
            </w: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Коленцова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 </w:t>
            </w:r>
            <w:r w:rsidRPr="00A24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Международные и российские стандарты обеспечения прав воспитанника приёмной семьи…………………………………………..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8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Лименко</w:t>
            </w:r>
            <w:proofErr w:type="spellEnd"/>
            <w:r w:rsidRPr="00A248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Т.И.</w:t>
            </w: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Личные неимущественные права </w:t>
            </w:r>
          </w:p>
          <w:p w:rsidR="00A248E6" w:rsidRPr="00A248E6" w:rsidRDefault="00A248E6" w:rsidP="002C562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248E6" w:rsidRPr="00A248E6" w:rsidRDefault="00A248E6" w:rsidP="002C562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Шарудинова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Л.Т. </w:t>
            </w:r>
            <w:proofErr w:type="spellStart"/>
            <w:r w:rsidRPr="00A248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Киберпреступления</w:t>
            </w:r>
            <w:proofErr w:type="spellEnd"/>
            <w:r w:rsidRPr="00A248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как новая криминальная угроза……………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</w:tr>
      <w:tr w:rsidR="00A248E6" w:rsidRPr="00A248E6" w:rsidTr="002C562E">
        <w:tc>
          <w:tcPr>
            <w:tcW w:w="5400" w:type="dxa"/>
          </w:tcPr>
          <w:p w:rsidR="00A248E6" w:rsidRPr="00A248E6" w:rsidRDefault="00A248E6" w:rsidP="002C562E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ПРИЛОЖЕНИЯ. ДОКУМЕНТЫ 1939–1941 годов……</w:t>
            </w:r>
          </w:p>
        </w:tc>
        <w:tc>
          <w:tcPr>
            <w:tcW w:w="720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270</w:t>
            </w:r>
          </w:p>
        </w:tc>
      </w:tr>
    </w:tbl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 xml:space="preserve">Договор о ненападении между Германией и Советским Союзом </w:t>
      </w:r>
    </w:p>
    <w:p w:rsidR="00A248E6" w:rsidRPr="00A248E6" w:rsidRDefault="00A248E6" w:rsidP="00A248E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и секретный дополнительный протокол, 23 августа 1939 года.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Германо-советский договор о дружбе и границе, 28 сентября 1939 года.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План «Барбаросса» (директива Верховного командования вермахта № 21), 18 декабря 1940 года.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Из директивы Верховного командования вермахта № 32 о подготовке к периоду после осуществления плана «Барбаросса», 11 июня 1941 года.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35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Директива № 1 Военным советам западных приграничных округов о возможном нападении немцев, 22 июня 1941 года.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Директива № 3 Военным советам Северо-Западного, Западного, Юго-Западного и Южного фронтов, 22 июня 1941 г.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Директива Совнаркома Союза ССР и ЦК ВК</w:t>
      </w:r>
      <w:proofErr w:type="gramStart"/>
      <w:r w:rsidRPr="00A248E6">
        <w:rPr>
          <w:rFonts w:ascii="Times New Roman" w:hAnsi="Times New Roman" w:cs="Times New Roman"/>
          <w:sz w:val="20"/>
          <w:szCs w:val="20"/>
        </w:rPr>
        <w:t>П(</w:t>
      </w:r>
      <w:proofErr w:type="gramEnd"/>
      <w:r w:rsidRPr="00A248E6">
        <w:rPr>
          <w:rFonts w:ascii="Times New Roman" w:hAnsi="Times New Roman" w:cs="Times New Roman"/>
          <w:sz w:val="20"/>
          <w:szCs w:val="20"/>
        </w:rPr>
        <w:t>б) партийным и советским организациям прифронтовых областей, 29 июня 1941 года № П509.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Постановление Президиума Верховного Совета СССР, Совета народных комиссаров СССР и ЦК ВК</w:t>
      </w:r>
      <w:proofErr w:type="gramStart"/>
      <w:r w:rsidRPr="00A248E6">
        <w:rPr>
          <w:rFonts w:ascii="Times New Roman" w:hAnsi="Times New Roman" w:cs="Times New Roman"/>
          <w:sz w:val="20"/>
          <w:szCs w:val="20"/>
        </w:rPr>
        <w:t>П(</w:t>
      </w:r>
      <w:proofErr w:type="gramEnd"/>
      <w:r w:rsidRPr="00A248E6">
        <w:rPr>
          <w:rFonts w:ascii="Times New Roman" w:hAnsi="Times New Roman" w:cs="Times New Roman"/>
          <w:sz w:val="20"/>
          <w:szCs w:val="20"/>
        </w:rPr>
        <w:t>б) об образовании Государственного Комитета Обороны, 30 июня 1941 года.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lastRenderedPageBreak/>
        <w:t xml:space="preserve">Приказ с объявлением приговора Верховного суда СССР по делу генерала армии Д.Г. Павлова, генерал-майоров В.Е. </w:t>
      </w:r>
      <w:proofErr w:type="spellStart"/>
      <w:r w:rsidRPr="00A248E6">
        <w:rPr>
          <w:rFonts w:ascii="Times New Roman" w:hAnsi="Times New Roman" w:cs="Times New Roman"/>
          <w:sz w:val="20"/>
          <w:szCs w:val="20"/>
        </w:rPr>
        <w:t>Климовских</w:t>
      </w:r>
      <w:proofErr w:type="spellEnd"/>
      <w:r w:rsidRPr="00A248E6">
        <w:rPr>
          <w:rFonts w:ascii="Times New Roman" w:hAnsi="Times New Roman" w:cs="Times New Roman"/>
          <w:sz w:val="20"/>
          <w:szCs w:val="20"/>
        </w:rPr>
        <w:t xml:space="preserve">, А.Т. Григорьева и А. А. </w:t>
      </w:r>
      <w:proofErr w:type="spellStart"/>
      <w:r w:rsidRPr="00A248E6">
        <w:rPr>
          <w:rFonts w:ascii="Times New Roman" w:hAnsi="Times New Roman" w:cs="Times New Roman"/>
          <w:sz w:val="20"/>
          <w:szCs w:val="20"/>
        </w:rPr>
        <w:t>Коробкова</w:t>
      </w:r>
      <w:proofErr w:type="spellEnd"/>
      <w:r w:rsidRPr="00A248E6">
        <w:rPr>
          <w:rFonts w:ascii="Times New Roman" w:hAnsi="Times New Roman" w:cs="Times New Roman"/>
          <w:sz w:val="20"/>
          <w:szCs w:val="20"/>
        </w:rPr>
        <w:t>, 28 июля 1941 года № 0250.</w:t>
      </w:r>
    </w:p>
    <w:p w:rsidR="00A248E6" w:rsidRPr="00A248E6" w:rsidRDefault="00A248E6" w:rsidP="00A248E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Распоряжение Верховного командования вермахта об обращении с советскими военнопленными, 8 сентября 1941 года.</w:t>
      </w:r>
    </w:p>
    <w:p w:rsidR="00A248E6" w:rsidRPr="00A248E6" w:rsidRDefault="00A248E6" w:rsidP="006F5B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248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Приложение 2</w:t>
      </w:r>
    </w:p>
    <w:p w:rsidR="00A248E6" w:rsidRPr="00A248E6" w:rsidRDefault="00A248E6" w:rsidP="006F5B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E6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A248E6" w:rsidRPr="00A248E6" w:rsidRDefault="00A248E6" w:rsidP="00A248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61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"/>
        <w:gridCol w:w="727"/>
      </w:tblGrid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ОБРАЩЕНИЕ к участникам </w:t>
            </w:r>
            <w:r w:rsidRPr="00A248E6">
              <w:rPr>
                <w:rFonts w:ascii="Times New Roman" w:eastAsia="Times New Roman" w:hAnsi="Times New Roman" w:cs="Times New Roman"/>
                <w:color w:val="00000A"/>
                <w:spacing w:val="2"/>
                <w:sz w:val="20"/>
                <w:szCs w:val="20"/>
              </w:rPr>
              <w:t>Всероссийской научно-практической конференции «Распад СССР: причины, ход, последствия» (к 30-летию цивилизационной катастрофы)</w:t>
            </w:r>
            <w:r w:rsidRPr="00A248E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……...</w:t>
            </w:r>
          </w:p>
          <w:p w:rsidR="00A248E6" w:rsidRPr="00A248E6" w:rsidRDefault="00A248E6" w:rsidP="002C562E">
            <w:pPr>
              <w:jc w:val="both"/>
              <w:rPr>
                <w:rFonts w:ascii="Times New Roman" w:eastAsia="Times New Roman" w:hAnsi="Times New Roman" w:cs="Times New Roman"/>
                <w:color w:val="00000A"/>
                <w:spacing w:val="2"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</w:pPr>
            <w:r w:rsidRPr="00A248E6">
              <w:rPr>
                <w:rFonts w:ascii="Times New Roman" w:eastAsia="Times New Roman" w:hAnsi="Times New Roman" w:cs="Times New Roman"/>
                <w:color w:val="00000A"/>
                <w:spacing w:val="-4"/>
                <w:sz w:val="20"/>
                <w:szCs w:val="20"/>
              </w:rPr>
              <w:t>3</w:t>
            </w:r>
          </w:p>
        </w:tc>
      </w:tr>
      <w:tr w:rsidR="00A248E6" w:rsidRPr="00A248E6" w:rsidTr="002C562E">
        <w:tc>
          <w:tcPr>
            <w:tcW w:w="539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ПРЕДИСЛОВИЕ................................................................</w:t>
            </w: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48E6" w:rsidRPr="00A248E6" w:rsidTr="002C562E">
        <w:tc>
          <w:tcPr>
            <w:tcW w:w="6120" w:type="dxa"/>
            <w:gridSpan w:val="3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. ДОКЛАДЫ И ВЫСТУПЛЕНИЯ НА </w:t>
            </w:r>
            <w:proofErr w:type="gram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ПЛЕНАРНОМ</w:t>
            </w:r>
            <w:proofErr w:type="gramEnd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ЗАСЕДАНИИ</w:t>
            </w:r>
            <w:proofErr w:type="gramEnd"/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Бабашкин</w:t>
            </w:r>
            <w:proofErr w:type="spellEnd"/>
            <w:r w:rsidRPr="00A24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48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В.В.</w:t>
            </w:r>
            <w:r w:rsidRPr="00A248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48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Советский Союз рухнул из-за лжи и будет, так или иначе, восстановлен по мере ее искоренения…………...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Борисова-Жарова В.Г.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СССР и его влияние на будущую судьбу России..............................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Горбунов В.В.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Модернизация экономики СССР как шанс укрепления потенциала советской модели государственного устройства........................................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F459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1CA56" wp14:editId="27FC2C6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25400</wp:posOffset>
                      </wp:positionV>
                      <wp:extent cx="800100" cy="228600"/>
                      <wp:effectExtent l="5715" t="5715" r="13335" b="1333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62E" w:rsidRPr="00A54F10" w:rsidRDefault="002C562E" w:rsidP="00A248E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proofErr w:type="spellStart"/>
                                  <w:r w:rsidRPr="00A54F1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Есаков</w:t>
                                  </w:r>
                                  <w:proofErr w:type="spellEnd"/>
                                  <w:r w:rsidRPr="00A54F1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Е.Д.,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.6pt;margin-top:2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">
                      <v:textbox inset="0,0,0,0">
                        <w:txbxContent>
                          <w:p w:rsidR="00A248E6" w:rsidRPr="00A54F10" w:rsidRDefault="00A248E6" w:rsidP="00A248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A54F10">
                              <w:rPr>
                                <w:rFonts w:ascii="Times New Roman" w:hAnsi="Times New Roman" w:cs="Times New Roman"/>
                                <w:i/>
                              </w:rPr>
                              <w:t>Есаков</w:t>
                            </w:r>
                            <w:proofErr w:type="spellEnd"/>
                            <w:r w:rsidRPr="00A54F1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Е.Д.,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Корнаковский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И.Л.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Сообщество историков и развитие исторической науки в СССР во второй половине </w:t>
            </w: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F4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Кондрашин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</w:t>
            </w:r>
            <w:proofErr w:type="gram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В.</w:t>
            </w:r>
            <w:proofErr w:type="gram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идет Россия в контексте исторического опыта феномена СССР?......................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Кураев А.Н., </w:t>
            </w: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Сурай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Н.М.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Урбанизация в России на рубеже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веков............................................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Орлов В.В.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 последствия распада СССР в исторической литературе..................................................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Розин В.М. </w:t>
            </w:r>
            <w:r w:rsidRPr="00A24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Кризис </w:t>
            </w:r>
            <w:proofErr w:type="gramStart"/>
            <w:r w:rsidRPr="00A24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российской</w:t>
            </w:r>
            <w:proofErr w:type="gramEnd"/>
            <w:r w:rsidRPr="00A24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социальности как результат распада СССР (размышления и мнения аналитиков)..............................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Рофиева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Н.Г.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таджикских женщин в сфере  экономики (60-80-е гг. ХХ века)........................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Серов В.Н.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Вопросы правового регулирования национальной политики в СССР....................................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Скрынченко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Б.Л.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Военно-экономическая о</w:t>
            </w:r>
            <w:r w:rsidRPr="00A248E6">
              <w:rPr>
                <w:rFonts w:ascii="Times New Roman" w:eastAsia="Calibri" w:hAnsi="Times New Roman" w:cs="Times New Roman"/>
                <w:sz w:val="20"/>
                <w:szCs w:val="20"/>
              </w:rPr>
              <w:t>ценка Второй мировой войны и ее влияние на экономику Советского государства в послевоенные годы............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Тышковский</w:t>
            </w:r>
            <w:proofErr w:type="spellEnd"/>
            <w:r w:rsidRPr="00A248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А.В., Тараканов А.В., </w:t>
            </w: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Ускова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Д.Н.</w:t>
            </w:r>
            <w:r w:rsidRPr="00A24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eastAsia="Calibri" w:hAnsi="Times New Roman" w:cs="Times New Roman"/>
                <w:sz w:val="20"/>
                <w:szCs w:val="20"/>
              </w:rPr>
              <w:t>Феномен деструктивного лидерства в позднем Советском Союзе...................................................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Черников В.В.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распада СССР. Системно-синергетический подход...........................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. ДОКЛАДЫ И ВЫСТУПЛЕНИЯ 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НА СЕКЦИОННЫХ ЗАСЕДАНИЯХ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Боговид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А.А., </w:t>
            </w:r>
            <w:r w:rsidRPr="00A248E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Гаврилова Т.В.</w:t>
            </w:r>
            <w:r w:rsidRPr="00A248E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Принципы взаимодействия на постсоветском пространстве: отечественный опыт и перспективы....................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Калинин А.В.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Демографическая структура государств постсоветского пространства.............................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Маркович И.А.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Динамика экономического развития Российской Федерации с момента распада СССР до наших дней...........................................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Марукова</w:t>
            </w:r>
            <w:proofErr w:type="spellEnd"/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Я.А.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Тенденции социально-экономического 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новых независимых государств после распада СССР…………………………..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Сентюрин М.М.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Историко-правовой анализ Конституций РСФСР и Российской Федерации............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Шестаков М.Л.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статус Российской Федерации как государства-продолжателя СССР..........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248E6" w:rsidRPr="00A248E6" w:rsidTr="002C562E">
        <w:tc>
          <w:tcPr>
            <w:tcW w:w="6120" w:type="dxa"/>
            <w:gridSpan w:val="3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. ТРУДЫ МОЛОДЫХ УЧЕНЫХ</w:t>
            </w: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>Елохов В.В.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Цифровые компетенции студентов.............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Керимов А., </w:t>
            </w:r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Шаповалов Д.А.</w:t>
            </w:r>
            <w:r w:rsidRPr="00A248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Алиментные соглашения в семейном праве.........................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Керимов А.,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Шаповалов Д.А.</w:t>
            </w:r>
            <w:r w:rsidRPr="00A248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48E6">
              <w:rPr>
                <w:rStyle w:val="a7"/>
                <w:rFonts w:cs="Times New Roman"/>
                <w:b w:val="0"/>
                <w:i w:val="0"/>
                <w:sz w:val="20"/>
                <w:szCs w:val="20"/>
              </w:rPr>
              <w:t>Проблемы расторжения брака в России и зарубежных странах..........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Рустамов Р.Р.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Выявление, предупреждение и раскрытие преступлений общеуголовной направленности, совершаемых гражданами ближнего зарубежья (на примере Дальневосточного федерального округа)........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i/>
                <w:sz w:val="20"/>
                <w:szCs w:val="20"/>
              </w:rPr>
              <w:t>Рустамов Р.Р.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правового статуса беженцев и вынужденных переселенцев в Российской Федерации...........................................................................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Саркисян А.Э.,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8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Шаповалов Д.А.</w:t>
            </w: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8E6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Цифровизация</w:t>
            </w:r>
            <w:proofErr w:type="spellEnd"/>
            <w:r w:rsidRPr="00A248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Единого государственного реестра недвижимости и кадастра</w:t>
            </w:r>
          </w:p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A248E6" w:rsidRPr="00A248E6" w:rsidTr="002C562E">
        <w:tc>
          <w:tcPr>
            <w:tcW w:w="5387" w:type="dxa"/>
          </w:tcPr>
          <w:p w:rsidR="00A248E6" w:rsidRPr="00A248E6" w:rsidRDefault="00A248E6" w:rsidP="002C56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ПРИЛОЖЕНИЯ.................................................................</w:t>
            </w:r>
          </w:p>
        </w:tc>
        <w:tc>
          <w:tcPr>
            <w:tcW w:w="733" w:type="dxa"/>
            <w:gridSpan w:val="2"/>
          </w:tcPr>
          <w:p w:rsidR="00A248E6" w:rsidRPr="00A248E6" w:rsidRDefault="00A248E6" w:rsidP="002C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</w:tbl>
    <w:p w:rsidR="00A248E6" w:rsidRPr="00A248E6" w:rsidRDefault="00A248E6" w:rsidP="00A248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8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Соглашение о создании Содружества Независимых Государств, </w:t>
      </w:r>
      <w:r w:rsidRPr="00A248E6">
        <w:rPr>
          <w:rFonts w:ascii="Times New Roman" w:eastAsia="Times New Roman" w:hAnsi="Times New Roman" w:cs="Times New Roman"/>
          <w:sz w:val="20"/>
          <w:szCs w:val="20"/>
          <w:lang w:eastAsia="ru-RU"/>
        </w:rPr>
        <w:t>8 декабря 1991 года.</w:t>
      </w:r>
    </w:p>
    <w:p w:rsidR="00A248E6" w:rsidRPr="00A248E6" w:rsidRDefault="00A248E6" w:rsidP="00A24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A248E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2. Стенограмма сообщения Ельцина президенту США Бушу </w:t>
      </w:r>
      <w:r w:rsidRPr="00A248E6">
        <w:rPr>
          <w:rFonts w:ascii="Times New Roman" w:eastAsia="Times New Roman" w:hAnsi="Times New Roman" w:cs="Times New Roman"/>
          <w:sz w:val="20"/>
          <w:szCs w:val="20"/>
          <w:lang w:eastAsia="ru-RU"/>
        </w:rPr>
        <w:t>8 декабря 1991 года.</w:t>
      </w:r>
    </w:p>
    <w:p w:rsidR="00A248E6" w:rsidRPr="00A248E6" w:rsidRDefault="00A248E6" w:rsidP="00A248E6">
      <w:pPr>
        <w:shd w:val="clear" w:color="auto" w:fill="FFFFFF"/>
        <w:spacing w:after="0" w:line="247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8E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3. Протокол</w:t>
      </w:r>
      <w:r w:rsidRPr="00A24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48E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к Соглашению о создании Содружества Независимых Государств, подписанному 8 декабря 1991 года в г. Минске Республикой Беларусь, Российской Федерацией (РСФСР), Украиной, </w:t>
      </w:r>
      <w:r w:rsidRPr="00A248E6">
        <w:rPr>
          <w:rFonts w:ascii="Times New Roman" w:eastAsia="Times New Roman" w:hAnsi="Times New Roman" w:cs="Times New Roman"/>
          <w:spacing w:val="2"/>
          <w:sz w:val="20"/>
          <w:szCs w:val="20"/>
          <w:bdr w:val="none" w:sz="0" w:space="0" w:color="auto" w:frame="1"/>
          <w:lang w:eastAsia="ru-RU"/>
        </w:rPr>
        <w:t>21 декабря 1991 года.</w:t>
      </w:r>
    </w:p>
    <w:p w:rsidR="00A248E6" w:rsidRPr="00A248E6" w:rsidRDefault="00A248E6" w:rsidP="00A248E6">
      <w:pPr>
        <w:shd w:val="clear" w:color="auto" w:fill="FFFFFF"/>
        <w:spacing w:after="0" w:line="233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7"/>
          <w:kern w:val="36"/>
          <w:sz w:val="20"/>
          <w:szCs w:val="20"/>
          <w:lang w:eastAsia="ru-RU"/>
        </w:rPr>
      </w:pPr>
      <w:r w:rsidRPr="00A248E6">
        <w:rPr>
          <w:rFonts w:ascii="Times New Roman" w:eastAsia="Times New Roman" w:hAnsi="Times New Roman" w:cs="Times New Roman"/>
          <w:bCs/>
          <w:spacing w:val="-7"/>
          <w:kern w:val="36"/>
          <w:sz w:val="20"/>
          <w:szCs w:val="20"/>
          <w:lang w:eastAsia="ru-RU"/>
        </w:rPr>
        <w:t>4. Алма-Атинская Декларация (г. Алма-Ата, 21 декабря 1991 года).</w:t>
      </w:r>
    </w:p>
    <w:p w:rsidR="00A248E6" w:rsidRPr="00A248E6" w:rsidRDefault="00A248E6" w:rsidP="00A24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48E6">
        <w:rPr>
          <w:rFonts w:ascii="Times New Roman" w:hAnsi="Times New Roman" w:cs="Times New Roman"/>
          <w:sz w:val="20"/>
          <w:szCs w:val="20"/>
          <w:shd w:val="clear" w:color="auto" w:fill="FFFFFF"/>
        </w:rPr>
        <w:t>5. Запись телефонного разговора М. Горбачева с президентом США Джорджем Бушем 25 декабря 1991 года.</w:t>
      </w:r>
    </w:p>
    <w:p w:rsidR="00A248E6" w:rsidRPr="00A248E6" w:rsidRDefault="00A248E6" w:rsidP="00A24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8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Устав Содружества Независимых Государств </w:t>
      </w:r>
      <w:r w:rsidRPr="00A248E6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1993 года.</w:t>
      </w:r>
    </w:p>
    <w:p w:rsidR="00A248E6" w:rsidRPr="00A248E6" w:rsidRDefault="00A248E6" w:rsidP="00A248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248E6" w:rsidRPr="00A248E6" w:rsidRDefault="00A248E6" w:rsidP="00C949A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248E6">
        <w:rPr>
          <w:rFonts w:ascii="Times New Roman" w:hAnsi="Times New Roman" w:cs="Times New Roman"/>
          <w:b/>
          <w:i/>
          <w:sz w:val="20"/>
          <w:szCs w:val="20"/>
        </w:rPr>
        <w:t>Приложение 3</w:t>
      </w:r>
    </w:p>
    <w:p w:rsidR="00A248E6" w:rsidRPr="00A248E6" w:rsidRDefault="00A248E6" w:rsidP="00C949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Сведения</w:t>
      </w:r>
    </w:p>
    <w:p w:rsidR="00A248E6" w:rsidRPr="00A248E6" w:rsidRDefault="00A248E6" w:rsidP="00C949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о публикационной активности Института государственной администрации</w:t>
      </w:r>
    </w:p>
    <w:p w:rsidR="00A248E6" w:rsidRPr="00A248E6" w:rsidRDefault="00A248E6" w:rsidP="00A248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8E6">
        <w:rPr>
          <w:rFonts w:ascii="Times New Roman" w:hAnsi="Times New Roman" w:cs="Times New Roman"/>
          <w:sz w:val="20"/>
          <w:szCs w:val="20"/>
        </w:rPr>
        <w:t>за 2021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786" w:type="dxa"/>
          </w:tcPr>
          <w:p w:rsidR="00A248E6" w:rsidRPr="00A248E6" w:rsidRDefault="00A248E6" w:rsidP="002C5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Число публикаций на портале </w:t>
            </w: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</w:t>
            </w:r>
          </w:p>
        </w:tc>
        <w:tc>
          <w:tcPr>
            <w:tcW w:w="4786" w:type="dxa"/>
          </w:tcPr>
          <w:p w:rsidR="00A248E6" w:rsidRPr="00A248E6" w:rsidRDefault="00A248E6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500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публикаций в РИНЦ</w:t>
            </w:r>
          </w:p>
        </w:tc>
        <w:tc>
          <w:tcPr>
            <w:tcW w:w="4786" w:type="dxa"/>
          </w:tcPr>
          <w:p w:rsidR="00A248E6" w:rsidRPr="00A248E6" w:rsidRDefault="00550027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48E6" w:rsidRPr="00A248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статей в журналах, входящих в перечень ВАК</w:t>
            </w:r>
          </w:p>
        </w:tc>
        <w:tc>
          <w:tcPr>
            <w:tcW w:w="4786" w:type="dxa"/>
          </w:tcPr>
          <w:p w:rsidR="00A248E6" w:rsidRPr="00A248E6" w:rsidRDefault="00550027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цитирований на elibrary.ru</w:t>
            </w:r>
          </w:p>
        </w:tc>
        <w:tc>
          <w:tcPr>
            <w:tcW w:w="4786" w:type="dxa"/>
          </w:tcPr>
          <w:p w:rsidR="00A248E6" w:rsidRPr="00A248E6" w:rsidRDefault="00A248E6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0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цитирований в РИНЦ</w:t>
            </w:r>
          </w:p>
        </w:tc>
        <w:tc>
          <w:tcPr>
            <w:tcW w:w="4786" w:type="dxa"/>
          </w:tcPr>
          <w:p w:rsidR="00A248E6" w:rsidRPr="00A248E6" w:rsidRDefault="00A248E6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Число авторов</w:t>
            </w:r>
          </w:p>
        </w:tc>
        <w:tc>
          <w:tcPr>
            <w:tcW w:w="4786" w:type="dxa"/>
          </w:tcPr>
          <w:p w:rsidR="00A248E6" w:rsidRPr="00A248E6" w:rsidRDefault="00A248E6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0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авторов, зарегистрированных в </w:t>
            </w:r>
            <w:proofErr w:type="spellStart"/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Index</w:t>
            </w:r>
            <w:proofErr w:type="spellEnd"/>
          </w:p>
        </w:tc>
        <w:tc>
          <w:tcPr>
            <w:tcW w:w="4786" w:type="dxa"/>
          </w:tcPr>
          <w:p w:rsidR="00A248E6" w:rsidRPr="00A248E6" w:rsidRDefault="00550027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4786" w:type="dxa"/>
          </w:tcPr>
          <w:p w:rsidR="00A248E6" w:rsidRPr="00A248E6" w:rsidRDefault="00A248E6" w:rsidP="002C56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8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публикаций, загруженных в РИНЦ</w:t>
            </w:r>
          </w:p>
        </w:tc>
        <w:tc>
          <w:tcPr>
            <w:tcW w:w="4786" w:type="dxa"/>
          </w:tcPr>
          <w:p w:rsidR="00A248E6" w:rsidRPr="00A248E6" w:rsidRDefault="00550027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просмотров публикаций за год</w:t>
            </w:r>
          </w:p>
        </w:tc>
        <w:tc>
          <w:tcPr>
            <w:tcW w:w="4786" w:type="dxa"/>
          </w:tcPr>
          <w:p w:rsidR="00A248E6" w:rsidRPr="00A248E6" w:rsidRDefault="00550027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2675</w:t>
            </w:r>
          </w:p>
        </w:tc>
      </w:tr>
      <w:tr w:rsidR="00A248E6" w:rsidRPr="00A248E6" w:rsidTr="002C562E">
        <w:tc>
          <w:tcPr>
            <w:tcW w:w="4785" w:type="dxa"/>
          </w:tcPr>
          <w:p w:rsidR="00A248E6" w:rsidRPr="00A248E6" w:rsidRDefault="00A248E6" w:rsidP="002C56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загрузок публикаций за год</w:t>
            </w:r>
          </w:p>
        </w:tc>
        <w:tc>
          <w:tcPr>
            <w:tcW w:w="4786" w:type="dxa"/>
          </w:tcPr>
          <w:p w:rsidR="00A248E6" w:rsidRPr="00A248E6" w:rsidRDefault="00550027" w:rsidP="005500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</w:tr>
    </w:tbl>
    <w:p w:rsidR="00550027" w:rsidRDefault="00550027" w:rsidP="006F5B4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27" w:rsidRDefault="006F5B4E" w:rsidP="006F5B4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0027">
        <w:rPr>
          <w:rFonts w:ascii="Times New Roman" w:hAnsi="Times New Roman" w:cs="Times New Roman"/>
          <w:b/>
          <w:sz w:val="20"/>
          <w:szCs w:val="20"/>
        </w:rPr>
        <w:t>Режим доступа</w:t>
      </w:r>
      <w:r w:rsidRPr="003C0A70">
        <w:rPr>
          <w:rFonts w:ascii="Times New Roman" w:hAnsi="Times New Roman" w:cs="Times New Roman"/>
          <w:sz w:val="20"/>
          <w:szCs w:val="20"/>
        </w:rPr>
        <w:t>:</w:t>
      </w:r>
      <w:r w:rsidR="00550027" w:rsidRPr="00550027">
        <w:t xml:space="preserve"> </w:t>
      </w:r>
      <w:r w:rsidR="00550027" w:rsidRPr="00550027">
        <w:rPr>
          <w:rFonts w:ascii="Times New Roman" w:hAnsi="Times New Roman" w:cs="Times New Roman"/>
          <w:sz w:val="20"/>
          <w:szCs w:val="20"/>
        </w:rPr>
        <w:t>https://elibrary.ru/org_profile.asp?id=5571</w:t>
      </w:r>
    </w:p>
    <w:p w:rsidR="006F5B4E" w:rsidRPr="003C0A70" w:rsidRDefault="006F5B4E" w:rsidP="006F5B4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0A70">
        <w:rPr>
          <w:rFonts w:ascii="Times New Roman" w:hAnsi="Times New Roman" w:cs="Times New Roman"/>
          <w:sz w:val="20"/>
          <w:szCs w:val="20"/>
        </w:rPr>
        <w:lastRenderedPageBreak/>
        <w:t>Дата обращения: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C0A70">
        <w:rPr>
          <w:rFonts w:ascii="Times New Roman" w:hAnsi="Times New Roman" w:cs="Times New Roman"/>
          <w:sz w:val="20"/>
          <w:szCs w:val="20"/>
        </w:rPr>
        <w:t>.03.202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50027" w:rsidRDefault="00550027" w:rsidP="006F5B4E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5B4E" w:rsidRPr="006F5B4E" w:rsidRDefault="006F5B4E" w:rsidP="006F5B4E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5B4E">
        <w:rPr>
          <w:rFonts w:ascii="Times New Roman" w:eastAsia="Times New Roman" w:hAnsi="Times New Roman" w:cs="Times New Roman"/>
          <w:sz w:val="20"/>
          <w:szCs w:val="20"/>
        </w:rPr>
        <w:t>Отчет</w:t>
      </w:r>
      <w:r w:rsidRPr="006F5B4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F5B4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0"/>
          <w:szCs w:val="20"/>
        </w:rPr>
        <w:t>победителя</w:t>
      </w:r>
      <w:r w:rsidRPr="006F5B4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0"/>
          <w:szCs w:val="20"/>
        </w:rPr>
        <w:t>Всероссийского</w:t>
      </w:r>
      <w:r w:rsidRPr="006F5B4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6F5B4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0"/>
          <w:szCs w:val="20"/>
        </w:rPr>
        <w:t>молодежных</w:t>
      </w:r>
      <w:r w:rsidRPr="006F5B4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0"/>
          <w:szCs w:val="20"/>
        </w:rPr>
        <w:t>проектов</w:t>
      </w:r>
    </w:p>
    <w:p w:rsidR="006F5B4E" w:rsidRPr="006F5B4E" w:rsidRDefault="006F5B4E" w:rsidP="006F5B4E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5B4E">
        <w:rPr>
          <w:rFonts w:ascii="Times New Roman" w:eastAsia="Times New Roman" w:hAnsi="Times New Roman" w:cs="Times New Roman"/>
          <w:sz w:val="20"/>
          <w:szCs w:val="20"/>
        </w:rPr>
        <w:t>Частное учреждение высшего образования «Институт государственного администрирования»</w:t>
      </w:r>
    </w:p>
    <w:p w:rsidR="006F5B4E" w:rsidRPr="006F5B4E" w:rsidRDefault="006F5B4E" w:rsidP="006F5B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570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1701"/>
        <w:gridCol w:w="851"/>
        <w:gridCol w:w="5265"/>
        <w:gridCol w:w="1570"/>
        <w:gridCol w:w="1571"/>
        <w:gridCol w:w="4711"/>
      </w:tblGrid>
      <w:tr w:rsidR="006F5B4E" w:rsidRPr="006F5B4E" w:rsidTr="006F5B4E">
        <w:trPr>
          <w:trHeight w:val="196"/>
        </w:trPr>
        <w:tc>
          <w:tcPr>
            <w:tcW w:w="15704" w:type="dxa"/>
            <w:gridSpan w:val="7"/>
          </w:tcPr>
          <w:p w:rsidR="006F5B4E" w:rsidRPr="006F5B4E" w:rsidRDefault="006F5B4E" w:rsidP="006F5B4E">
            <w:pPr>
              <w:spacing w:before="2"/>
              <w:ind w:right="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Аналитическая часть отчета о реализации проект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а(</w:t>
            </w:r>
            <w:proofErr w:type="spellStart"/>
            <w:proofErr w:type="gram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– победителя(ей) Всероссийского конкурса молодежных проектов</w:t>
            </w:r>
          </w:p>
        </w:tc>
      </w:tr>
      <w:tr w:rsidR="006F5B4E" w:rsidRPr="006F5B4E" w:rsidTr="006F5B4E">
        <w:trPr>
          <w:trHeight w:val="325"/>
        </w:trPr>
        <w:tc>
          <w:tcPr>
            <w:tcW w:w="1736" w:type="dxa"/>
            <w:gridSpan w:val="2"/>
          </w:tcPr>
          <w:p w:rsidR="006F5B4E" w:rsidRPr="006F5B4E" w:rsidRDefault="006F5B4E" w:rsidP="006F5B4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gridSpan w:val="4"/>
          </w:tcPr>
          <w:p w:rsidR="006F5B4E" w:rsidRPr="006F5B4E" w:rsidRDefault="006F5B4E" w:rsidP="006F5B4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5B4E" w:rsidRPr="006F5B4E" w:rsidTr="006F5B4E">
        <w:trPr>
          <w:trHeight w:val="325"/>
        </w:trPr>
        <w:tc>
          <w:tcPr>
            <w:tcW w:w="1736" w:type="dxa"/>
            <w:gridSpan w:val="2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Научно-образовательный исторический форум «Никто не забыт»</w:t>
            </w:r>
          </w:p>
        </w:tc>
        <w:tc>
          <w:tcPr>
            <w:tcW w:w="9257" w:type="dxa"/>
            <w:gridSpan w:val="4"/>
          </w:tcPr>
          <w:p w:rsidR="006F5B4E" w:rsidRPr="006F5B4E" w:rsidRDefault="006F5B4E" w:rsidP="006F5B4E">
            <w:pPr>
              <w:spacing w:before="100" w:beforeAutospacing="1" w:after="100" w:afterAutospacing="1"/>
              <w:ind w:firstLine="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1.Социальный опрос студентов по проблеме сохранения исторической памяти о Великой Отечественной войне. 2. Создание и наполнение страницы на официальном сайте института по размещению информации о ветеранах войны и тружениках тыла во Всероссийском историческом депозитарии «Лица Победы». 3. Информирование целевой аудитории о реализации проекта через объявления в социальных сетях, на сайте института. 4. Принятие Плана мероприятий по реализации проекта. 5. Формирование рабочей группы по управлению проектом. 6. Установление взаимодействия с ветеранскими организациями городов Москва, Клин, Казань, Ржев, Нефтеюганск и Якутск. 7. Проведение консультационных и психологических тренингов с участниками проекта. 8. Расширение круга партнеров, которых можно привлечь к реализации проекта. 9.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Отсканирование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фотографий не менее 600 участников войны и тружеников тыла в формате </w:t>
            </w: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jpeg</w:t>
            </w: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. 10. Запись воспоминаний каждого участника войны и труженика тыла на смартфон. 11. Заполнение индивидуальной карточки на каждого участника войны и труженика тыла из списка – 600 чел. 12. Внесение в исторический депозитарий «Лица Победы" отредактированных сведений об участниках войны и тружениках тыла . 13. Проведение научно-практической конференции «Великая Отечественная война 1941-1945 гг. и российское общество: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социогуманитарное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измерение». 14. Приобретение необходимого оборудования для реализации проекта. 15. Проведение  курсов повышения квалификации педагогических работников, участвующих в рамках своих полномочий в реализации мероприятий по патриотическому воспитанию студенческой молодежи. 16. Составление отчетов координаторов проекта; 17. Проведение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фотопрезентации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(фотовыставки) участников проекта; 18. Составление текстового и финансового отчета об использовании субсидии; 19. Проведение итогового круглого стола с анализом результатов проекта и выявлением перспектив развития данного направления деятельности. 20. Издание сборника статй </w:t>
            </w:r>
          </w:p>
          <w:p w:rsidR="006F5B4E" w:rsidRPr="006F5B4E" w:rsidRDefault="006F5B4E" w:rsidP="006F5B4E">
            <w:pPr>
              <w:ind w:firstLine="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«Великая Отечественная война 1941-1945 гг. и российское общество: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социогуманитарное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измерение». 21. Представление итогов проекта в образовательных организациях высшего образования, ветеранских организациях на территориях 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присутствия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ЧУ ВО «ИГА».</w:t>
            </w:r>
          </w:p>
          <w:p w:rsidR="006F5B4E" w:rsidRPr="006F5B4E" w:rsidRDefault="006F5B4E" w:rsidP="006F5B4E">
            <w:pPr>
              <w:ind w:firstLine="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 ходе реализации проекта была сформирована команда единомышленников из числа студентов и научно-педагогических работников Института государственного администрирования и Совета ветеранов Юго-Западного административного округа (ЮЗАО) города Москвы с целью сохранения исторической памяти о Великой Отечественной войне 1941-1945 гг.  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За отчетный период обеспечено выполнение всех знаковых мероприятий, в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т.ч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.  Всероссийской научно-практической конференции «Великая Отечественная война: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социогуманитарное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измерение» в июне 2021 г., размещение информации об участниках войны и тружениках тыла общей численностью 600 чел. во Всенародном историческом депозитарии «Лица Победы» в Парке Победы, издание по материалам конференции сборника статей «Великая Отечественная война: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социогуманитарное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измерение» (сентябрь 2021 г.,);  фотоальбома «Битва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за Москву», посвященный 80-летию контрнаступления советских войск под Москвой;  выпуска 15-го номера журнала «</w:t>
            </w: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ICARUS</w:t>
            </w: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&amp;</w:t>
            </w: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DAEDALUS</w:t>
            </w: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» Системный анализ: проблемы и решения», также  посвященный 80-летию контрнаступления советских войск под Москвой.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Всего в мероприятиях приняло свыше 650 человек, включая студентов, научно-педагогических работников Института государственного администрирования, членов Совета ветеранов ЮЗАО города Москвы и др.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Состав участников конференции, круглых столов, презентаций, панельных дискуссий и др. мероприятий  был сформирован из числа ученых, исследователей и специалистов из столичных и региональных высших учебных заведений и НИИ, студенческого актива. Состав волонтеров был сформирован из числа активистов волонтерского движения из числа студентов  Института государственного администрирования.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Состав экспертов был сформирован из числа федерального экспертного сообщества и представителей команды проекта «Никто не забыт».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 ходе реализации проекта «Никто не забыт» обращалось внимание на проведение культурно-досуговых мероприятий, которые включили в себя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командообразование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экскурсионную программу по г. Москве и командный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квест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 т.д.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spacing w:before="100" w:beforeAutospacing="1" w:after="15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5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Реализация научно-образовательного проекта  «Никто не забыт» позволяет решить  основную задачу -  подключить студенческую молодежь к сохранению исторической памяти о Великой Отечественной войне 1941-1945 гг. Проект оказался </w:t>
            </w:r>
            <w:r w:rsidRPr="006F5B4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важным для использования памяти поколения Победителей в патриотическом воспитании молодежи. Подключение к реализации проекта студентов Института государственного администрирования, включая филиалы и представительства в Ржеве, Клину, Казани, Якутске и др., а также Совет ветеранов ЮЗАО г. Москвы позволило расширить географию проекта, охватить все  целевые группы и </w:t>
            </w:r>
            <w:proofErr w:type="spellStart"/>
            <w:r w:rsidRPr="006F5B4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благополучателей</w:t>
            </w:r>
            <w:proofErr w:type="spellEnd"/>
            <w:r w:rsidRPr="006F5B4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 </w:t>
            </w:r>
          </w:p>
          <w:p w:rsidR="006F5B4E" w:rsidRPr="006F5B4E" w:rsidRDefault="006F5B4E" w:rsidP="006F5B4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F5B4E" w:rsidRPr="006F5B4E" w:rsidRDefault="006F5B4E" w:rsidP="006F5B4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F5B4E" w:rsidRPr="006F5B4E" w:rsidRDefault="006F5B4E" w:rsidP="006F5B4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F5B4E" w:rsidRPr="006F5B4E" w:rsidRDefault="006F5B4E" w:rsidP="006F5B4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F5B4E" w:rsidRPr="006F5B4E" w:rsidRDefault="006F5B4E" w:rsidP="006F5B4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5B4E" w:rsidRPr="006F5B4E" w:rsidTr="006F5B4E">
        <w:trPr>
          <w:trHeight w:val="325"/>
        </w:trPr>
        <w:tc>
          <w:tcPr>
            <w:tcW w:w="1736" w:type="dxa"/>
            <w:gridSpan w:val="2"/>
          </w:tcPr>
          <w:p w:rsidR="006F5B4E" w:rsidRPr="006F5B4E" w:rsidRDefault="006F5B4E" w:rsidP="006F5B4E">
            <w:pPr>
              <w:tabs>
                <w:tab w:val="left" w:pos="935"/>
              </w:tabs>
              <w:spacing w:line="251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Физкультурно-оздоровительный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«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ЗОЖдлямолодежь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257" w:type="dxa"/>
            <w:gridSpan w:val="4"/>
          </w:tcPr>
          <w:p w:rsidR="006F5B4E" w:rsidRPr="006F5B4E" w:rsidRDefault="006F5B4E" w:rsidP="006F5B4E">
            <w:pPr>
              <w:ind w:firstLine="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1. Социальный опрос студентов по проблеме занятий физической культурой и спортом. 2. Информирование целевой аудитории о реализации проекта через объявления в социальных сетях, на сайте института. Принятие Плана мероприятий по реализации проекта. Формирование рабочей группы по управлению проектом. 3. Создание и наполнение страницы на официальном сайте института о проведении межрегионального студенческого турнира по настольному теннису. 4. Подготовка территории для установки уличных и стационарных тренажеров. 5. Приобретение, установка и монтаж спортивного </w:t>
            </w: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оборудования – теннисных столов и тренажеров,  набора для бадминтона. 6. Составление списка участников турнира по настольному теннису. 7. Первый этап соревнований по настольному теннису среди студентов вуза, филиалов и представительств. 8. Второй этап соревнований по настольному теннису студентов на базе головного вуза. 9. Вручение призов, грамот и кубков студентам, занявшим призовые места.  Подготовка к следующему этапу проведения занятий по физической культуре и спорту. 10. 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Провести Школу спортивного волонтера для 25 участников по обучению навыкам организации спортивных мероприятий, мониторингу качества их выполнения и публичных кампаний по проблемам массового спорта. 11 Проведение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фотопрезентации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(фотовыставки) участников проекта; 12 Составление текстового и финансового отчета об использовании субсидии; 13 Проведение итогового круглого стола с анализом результатов проекта и выявлением перспектив развития данного направления деятельности.</w:t>
            </w:r>
            <w:proofErr w:type="gramEnd"/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В ходе реализации проекта было обеспечено создание условий для регулярных занятий физической культурой и спортом для студенческой молодежи Института государственного администрирования, укрепления их здоровья, воспитания у них патриотизма, силы воли и характера, достигнуто увеличение доли студентов, систематически занимающихся физкультурой и спортом. За отчетный период обеспечено выполнение всех мероприятий, включая проведение двух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внутривузовских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турниров по настольному теннису среди студентов.  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Состав участников круглых столов, презентаций, панельных дискуссий, фотовыставок и др. мероприятий  был сформирован из числа  исследователей и специалистов из столичных и региональных высших учебных заведений и НИИ, студенческого актива.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Состав волонтеров был сформирован из числа активистов волонтерского движения из числа студентов  Института государственного администрирования.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Состав экспертов был сформирован из числа федерального экспертного сообщества и представителей команды проекта «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ЗОЖдлямолодежь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». 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 ходе реализации проекта «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ЗОЖдлямолодежь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» было обращено внимание на проведение культурно-досуговых мероприятий, которые включили в себя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командообразование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экскурсионную программу по г. Москве и 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командный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квест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 т.д.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spacing w:before="100" w:beforeAutospacing="1" w:after="15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5B4E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val="ru-RU" w:eastAsia="ru-RU"/>
              </w:rPr>
              <w:lastRenderedPageBreak/>
              <w:t>Реализация физкультурно-образовательного проекта «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val="ru-RU" w:eastAsia="ru-RU"/>
              </w:rPr>
              <w:t>ЗОЖдлямолодежь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val="ru-RU" w:eastAsia="ru-RU"/>
              </w:rPr>
              <w:t xml:space="preserve">» способствовала созданию надлежащих условий для занятия молодежи физкультурой и спортом,  укрепления здоровья и расширения границ их физических возможностей, обретения ими уверенности в своих силах, проявления </w:t>
            </w:r>
            <w:r w:rsidRPr="006F5B4E"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val="ru-RU" w:eastAsia="ru-RU"/>
              </w:rPr>
              <w:lastRenderedPageBreak/>
              <w:t xml:space="preserve">лидерских качеств, студенческой молодежи  показан дополнительный вектор проведения свободного времени, позволит им овладеть новыми компетенциями и эффективнее влиться в социум   </w:t>
            </w:r>
          </w:p>
        </w:tc>
      </w:tr>
      <w:tr w:rsidR="006F5B4E" w:rsidRPr="006F5B4E" w:rsidTr="006F5B4E">
        <w:trPr>
          <w:trHeight w:val="325"/>
        </w:trPr>
        <w:tc>
          <w:tcPr>
            <w:tcW w:w="1736" w:type="dxa"/>
            <w:gridSpan w:val="2"/>
          </w:tcPr>
          <w:p w:rsidR="006F5B4E" w:rsidRPr="006F5B4E" w:rsidRDefault="006F5B4E" w:rsidP="006F5B4E">
            <w:pPr>
              <w:tabs>
                <w:tab w:val="left" w:pos="935"/>
              </w:tabs>
              <w:spacing w:line="251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Форум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студенческих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объединений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УФО</w:t>
            </w:r>
          </w:p>
        </w:tc>
        <w:tc>
          <w:tcPr>
            <w:tcW w:w="9257" w:type="dxa"/>
            <w:gridSpan w:val="4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1. Информационная работа. 2. Определение актуальных направлений форума. 3. Формирование образовательной программы. 4. Формирование и привлечение экспертной группы для реализации образовательной программы. 5. Привлечение почетного гостя форума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6. Подбор места проведения и формирования итоговой программы на 5 дней. 7. Отбор участников. 8. Отбор волонтеров для проведения Форума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9. Проведение форума в течени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5 дней (включая день заезда и разъезда) В ходе реализации проекта была сформирована площадка для поиска единомышленников, личностного роста студентов и возможность взаимодействия между собой среди студентов, лидеров и представителей студенческих сообществ в возрасте от 18 до 25 лет, обучающиеся в учебных заведениях Уральского федерального округа.</w:t>
            </w:r>
          </w:p>
          <w:p w:rsidR="006F5B4E" w:rsidRPr="006F5B4E" w:rsidRDefault="006F5B4E" w:rsidP="006F5B4E">
            <w:pPr>
              <w:ind w:firstLine="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 Форуме приняли участие 80 человек:</w:t>
            </w:r>
          </w:p>
          <w:p w:rsidR="006F5B4E" w:rsidRPr="006F5B4E" w:rsidRDefault="006F5B4E" w:rsidP="006F5B4E">
            <w:pPr>
              <w:ind w:firstLine="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Состав участников Форума был сформирован на основании отбора по анкетным данным из заявок на мероприятие.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Состав волонтеров Форума был сформирован из числа активистов волонтерского движения студентов Уральского федерального округа. 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Состав экспертов Форума был сформирован из числа федерального экспертного сообщества и представителей команды проекта «Национальная лига студенческих клубов». 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Образовательная программа Форума проходила по 3 направлениям: «Архитектура сообществ», «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Коммьюнити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драйверы», «Конструктор событий».</w:t>
            </w:r>
          </w:p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Также в рамках Форума было уделено внимание культурно-досуговой составляющей, которая включила в себя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командообразование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экскурсионную программу по г. Екатеринбургу и 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командный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квест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окружных форумов студенческих клубов и объединений позволяет решить основную проблемы студенческого клубного движения – замкнутость студенческих объединений внутри своих учебных заведений. Проведение данного Форума дало возможность студентам из Уральского федерального округа для знакомства и обмена опытом с объединениями и клубами соседних регионов, а также возможность реализации совместных проектов или мероприятий.</w:t>
            </w:r>
          </w:p>
          <w:p w:rsidR="006F5B4E" w:rsidRPr="006F5B4E" w:rsidRDefault="006F5B4E" w:rsidP="006F5B4E">
            <w:pPr>
              <w:spacing w:before="100" w:beforeAutospacing="1" w:after="150" w:afterAutospacing="1"/>
              <w:jc w:val="both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val="ru-RU" w:eastAsia="ru-RU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298"/>
        </w:trPr>
        <w:tc>
          <w:tcPr>
            <w:tcW w:w="15669" w:type="dxa"/>
            <w:gridSpan w:val="6"/>
          </w:tcPr>
          <w:p w:rsidR="006F5B4E" w:rsidRPr="006F5B4E" w:rsidRDefault="006F5B4E" w:rsidP="006F5B4E">
            <w:pPr>
              <w:spacing w:before="2"/>
              <w:ind w:left="199" w:right="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 о выполнении календарного плана проект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а(</w:t>
            </w:r>
            <w:proofErr w:type="spellStart"/>
            <w:proofErr w:type="gram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– победителя(ей) Всероссийского конкурса молодежных проектов;</w:t>
            </w:r>
          </w:p>
        </w:tc>
      </w:tr>
      <w:tr w:rsidR="006F5B4E" w:rsidRPr="006F5B4E" w:rsidTr="006F5B4E">
        <w:trPr>
          <w:gridBefore w:val="1"/>
          <w:wBefore w:w="35" w:type="dxa"/>
          <w:trHeight w:val="908"/>
        </w:trPr>
        <w:tc>
          <w:tcPr>
            <w:tcW w:w="2552" w:type="dxa"/>
            <w:gridSpan w:val="2"/>
          </w:tcPr>
          <w:p w:rsidR="006F5B4E" w:rsidRPr="006F5B4E" w:rsidRDefault="006F5B4E" w:rsidP="006F5B4E">
            <w:pPr>
              <w:spacing w:before="2"/>
              <w:ind w:left="976" w:right="607" w:hanging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65" w:type="dxa"/>
          </w:tcPr>
          <w:p w:rsidR="006F5B4E" w:rsidRPr="006F5B4E" w:rsidRDefault="006F5B4E" w:rsidP="006F5B4E">
            <w:pPr>
              <w:spacing w:before="2"/>
              <w:ind w:left="199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календарного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1570" w:type="dxa"/>
          </w:tcPr>
          <w:p w:rsidR="006F5B4E" w:rsidRPr="006F5B4E" w:rsidRDefault="006F5B4E" w:rsidP="006F5B4E">
            <w:pPr>
              <w:spacing w:before="2"/>
              <w:ind w:left="65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Плановый срок</w:t>
            </w:r>
            <w:r w:rsidRPr="006F5B4E">
              <w:rPr>
                <w:rFonts w:ascii="Times New Roman" w:eastAsia="Times New Roman" w:hAnsi="Times New Roman" w:cs="Times New Roman"/>
                <w:spacing w:val="-45"/>
                <w:sz w:val="20"/>
                <w:szCs w:val="20"/>
                <w:lang w:val="ru-RU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исполнения в</w:t>
            </w:r>
            <w:r w:rsidRPr="006F5B4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формате</w:t>
            </w:r>
            <w:r w:rsidRPr="006F5B4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ГГГ</w:t>
            </w:r>
          </w:p>
        </w:tc>
        <w:tc>
          <w:tcPr>
            <w:tcW w:w="1571" w:type="dxa"/>
          </w:tcPr>
          <w:p w:rsidR="006F5B4E" w:rsidRPr="006F5B4E" w:rsidRDefault="006F5B4E" w:rsidP="006F5B4E">
            <w:pPr>
              <w:spacing w:before="2"/>
              <w:ind w:left="37"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Фактический срок</w:t>
            </w:r>
            <w:r w:rsidRPr="006F5B4E">
              <w:rPr>
                <w:rFonts w:ascii="Times New Roman" w:eastAsia="Times New Roman" w:hAnsi="Times New Roman" w:cs="Times New Roman"/>
                <w:spacing w:val="-45"/>
                <w:sz w:val="20"/>
                <w:szCs w:val="20"/>
                <w:lang w:val="ru-RU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исполнения в</w:t>
            </w:r>
            <w:r w:rsidRPr="006F5B4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формате</w:t>
            </w:r>
            <w:r w:rsidRPr="006F5B4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ГГГ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spacing w:before="2"/>
              <w:ind w:left="199" w:right="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</w:tcPr>
          <w:p w:rsidR="006F5B4E" w:rsidRPr="006F5B4E" w:rsidRDefault="006F5B4E" w:rsidP="006F5B4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5" w:type="dxa"/>
          </w:tcPr>
          <w:p w:rsidR="006F5B4E" w:rsidRPr="006F5B4E" w:rsidRDefault="006F5B4E" w:rsidP="006F5B4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6F5B4E" w:rsidRPr="006F5B4E" w:rsidRDefault="006F5B4E" w:rsidP="006F5B4E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6F5B4E" w:rsidRPr="006F5B4E" w:rsidRDefault="006F5B4E" w:rsidP="006F5B4E">
            <w:pPr>
              <w:spacing w:before="45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spacing w:before="45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 w:val="restart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Научно-образовательный исторический форум «Никто не забыт»</w:t>
            </w: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Социальный опрос студентов по проблеме сохранения исторической памяти о Великой Отечественной войне</w:t>
            </w:r>
          </w:p>
        </w:tc>
        <w:tc>
          <w:tcPr>
            <w:tcW w:w="1570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 наполнение страницы на официальном сайте института по размещению информации о ветеранах войны и тружениках тыла во Всероссийском историческом депозитарии «Лица Победы»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Информирование целевой аудитории о реализации проекта через объявления в социальных сетях, на сайте института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Принятие </w:t>
            </w:r>
            <w:r w:rsidRPr="006F5B4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Плана мероприятий по реализации проекта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Формирование рабочей группы по управлению проектом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Установление взаимодействия с ветеранскими организациями городов Москва, Клин, Казань, Ржев, Нефтеюганск и Якутск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Проведение консультационных и психологических тренингов с участниками проекта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Расширение круга партнеров, которых можно привлечь к реализации проекта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Отсканирование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фотографий не менее 600 участников войны и тружеников тыла в формате 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jpeg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 воспоминаний каждого участника войны и труженика тыла на смартфон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Заполнение индивидуальной карточки на каждого участника войны и труженика тыла из списка – 600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Внесение в исторический депозитарий «Лица Победы" отредактированных сведений об участниках войны и тружениках тыла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научно-практической конференции «Великая Отечественная война 1941-1945 гг. и российское общество: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социогуманитарное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измерение»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Приобретение необходимого оборудования для реализации проекта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 курсов повышения квалификации педагогических работников, участвующих в рамках своих полномочий в реализации мероприятий по патриотическому воспитанию студенческой молодежи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фотопрезентации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(фотовыставки) участников проекта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отчетов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координаторов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текстового и финансового отчета об использовании субсидии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/>
              </w:rPr>
              <w:t>Проведение итогового круглого стола с а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нализом результатов проекта и выявлением перспектив развития данного направления деятельности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/>
              </w:rPr>
              <w:t xml:space="preserve">Издание сборника статей 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/>
              </w:rPr>
              <w:t xml:space="preserve">«Великая Отечественная война 1941-1945 гг. и российское общество: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/>
              </w:rPr>
              <w:t>социогуманитарное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/>
              </w:rPr>
              <w:t xml:space="preserve"> измерение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Представление итогов проекта в образовательных организациях высшего образования, ветеранских организациях на территориях 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присутствия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ЧУ ВО «ИГА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 w:val="restart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Физкультурно-оздоровительный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«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ЗОЖдлямолодежь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Социальный опрос студентов по проблеме занятий физической культурой и спортом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1430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Информирование целевой аудитории о реализации проекта через объявления в социальных сетях, на сайте института</w:t>
            </w:r>
          </w:p>
          <w:p w:rsidR="006F5B4E" w:rsidRPr="006F5B4E" w:rsidRDefault="006F5B4E" w:rsidP="006F5B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рабочей группы по управлению проектом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 наполнение страницы на официальном сайте института о проведении межрегионального студенческого турнира по настольному теннису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Подготовка территории для установки уличных и стационарных тренажеров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Приобретение, установка и монтаж спортивного оборудования – теннисных столов и тренажеров,  набора для бадминтона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Составление списка участников турнира по настольному теннису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Первый этап соревнований по настольному теннису среди студентов вуза, филиалов и представительств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Второй этап соревнований по настольному теннису студентов на базе головного вуза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 w:val="restart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Вручение призов, грамот и кубков студентам, занявшим призовые места.  </w:t>
            </w:r>
          </w:p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Подготовка к следующему этапу проведения занятий по физической культуре и спорту.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Провести Школу спортивного волонтера для 25 участников по обучению навыкам организации спортивных мероприятий, мониторингу качества их выполнения и публичных кампаний по проблемам массового спорта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фотопрезентации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(фотовыставки) участников проекта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vAlign w:val="center"/>
          </w:tcPr>
          <w:p w:rsidR="006F5B4E" w:rsidRPr="006F5B4E" w:rsidRDefault="006F5B4E" w:rsidP="006F5B4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текстового и финансового отчета об использовании субсидии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rPr>
          <w:gridBefore w:val="1"/>
          <w:wBefore w:w="35" w:type="dxa"/>
          <w:trHeight w:val="441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bottom w:val="single" w:sz="4" w:space="0" w:color="auto"/>
            </w:tcBorders>
            <w:vAlign w:val="center"/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/>
              </w:rPr>
              <w:t>Проведение итогового круглого стола с а</w:t>
            </w: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нализом результатов проекта и выявлением перспектив развития данного направления деятельности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Форум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студенческих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объединений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УФО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актуальных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 привлечение экспертной группы для реализации образовательной 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почетного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гостя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места проведения и формирования итоговой программы на 5 дней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Отбор волонтеров для проведения Форума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5B4E" w:rsidRPr="006F5B4E" w:rsidTr="006F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5" w:type="dxa"/>
          <w:trHeight w:val="32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форума в течени</w:t>
            </w:r>
            <w:proofErr w:type="gramStart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6F5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дней (включая день заезда и разъезда)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B4E">
              <w:rPr>
                <w:rFonts w:ascii="Times New Roman" w:eastAsia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4E" w:rsidRPr="006F5B4E" w:rsidRDefault="006F5B4E" w:rsidP="006F5B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F5B4E" w:rsidRPr="006F5B4E" w:rsidRDefault="006F5B4E" w:rsidP="006F5B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5B4E" w:rsidRPr="006F5B4E" w:rsidRDefault="006F5B4E" w:rsidP="006F5B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5B4E" w:rsidRPr="006F5B4E" w:rsidRDefault="006F5B4E" w:rsidP="006F5B4E">
      <w:pPr>
        <w:widowControl w:val="0"/>
        <w:tabs>
          <w:tab w:val="left" w:pos="7975"/>
        </w:tabs>
        <w:autoSpaceDE w:val="0"/>
        <w:autoSpaceDN w:val="0"/>
        <w:spacing w:after="0" w:line="240" w:lineRule="auto"/>
        <w:ind w:left="123"/>
        <w:rPr>
          <w:rFonts w:ascii="Times New Roman" w:eastAsia="Times New Roman" w:hAnsi="Times New Roman" w:cs="Times New Roman"/>
          <w:sz w:val="24"/>
          <w:szCs w:val="20"/>
        </w:rPr>
      </w:pPr>
      <w:r w:rsidRPr="006F5B4E">
        <w:rPr>
          <w:rFonts w:ascii="Times New Roman" w:eastAsia="Times New Roman" w:hAnsi="Times New Roman" w:cs="Times New Roman"/>
          <w:sz w:val="24"/>
          <w:szCs w:val="20"/>
        </w:rPr>
        <w:t>Руководитель</w:t>
      </w:r>
      <w:r w:rsidRPr="006F5B4E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4"/>
          <w:szCs w:val="20"/>
        </w:rPr>
        <w:t>(ректор)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_______________/</w:t>
      </w:r>
      <w:r w:rsidRPr="006F5B4E">
        <w:rPr>
          <w:rFonts w:ascii="Times New Roman" w:eastAsia="Times New Roman" w:hAnsi="Times New Roman" w:cs="Times New Roman"/>
          <w:sz w:val="24"/>
          <w:szCs w:val="20"/>
        </w:rPr>
        <w:t>Тараканов А.В.</w:t>
      </w:r>
    </w:p>
    <w:p w:rsidR="006F5B4E" w:rsidRPr="006F5B4E" w:rsidRDefault="006F5B4E" w:rsidP="006F5B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F5B4E" w:rsidRPr="006F5B4E" w:rsidRDefault="006F5B4E" w:rsidP="006F5B4E">
      <w:pPr>
        <w:widowControl w:val="0"/>
        <w:autoSpaceDE w:val="0"/>
        <w:autoSpaceDN w:val="0"/>
        <w:spacing w:after="0" w:line="240" w:lineRule="auto"/>
        <w:ind w:left="123"/>
        <w:rPr>
          <w:rFonts w:ascii="Times New Roman" w:eastAsia="Times New Roman" w:hAnsi="Times New Roman" w:cs="Times New Roman"/>
          <w:sz w:val="24"/>
          <w:szCs w:val="20"/>
        </w:rPr>
      </w:pPr>
      <w:r w:rsidRPr="006F5B4E">
        <w:rPr>
          <w:rFonts w:ascii="Times New Roman" w:eastAsia="Times New Roman" w:hAnsi="Times New Roman" w:cs="Times New Roman"/>
          <w:sz w:val="24"/>
          <w:szCs w:val="20"/>
        </w:rPr>
        <w:t>«01»</w:t>
      </w:r>
      <w:r w:rsidRPr="006F5B4E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4"/>
          <w:szCs w:val="20"/>
        </w:rPr>
        <w:t>января</w:t>
      </w:r>
      <w:r w:rsidRPr="006F5B4E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6F5B4E">
        <w:rPr>
          <w:rFonts w:ascii="Times New Roman" w:eastAsia="Times New Roman" w:hAnsi="Times New Roman" w:cs="Times New Roman"/>
          <w:sz w:val="24"/>
          <w:szCs w:val="20"/>
        </w:rPr>
        <w:t>2022 г.</w:t>
      </w:r>
    </w:p>
    <w:p w:rsidR="006F5B4E" w:rsidRPr="006F5B4E" w:rsidRDefault="006F5B4E" w:rsidP="006F5B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248E6" w:rsidRDefault="00A248E6" w:rsidP="00A248E6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48E6" w:rsidRDefault="00A248E6" w:rsidP="00A248E6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Научно-исследовательский отдел</w:t>
      </w:r>
    </w:p>
    <w:p w:rsidR="00A248E6" w:rsidRPr="00B9325A" w:rsidRDefault="00A248E6" w:rsidP="00A248E6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15.03.2022</w:t>
      </w:r>
    </w:p>
    <w:p w:rsidR="00A248E6" w:rsidRDefault="00A248E6" w:rsidP="00A248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91A" w:rsidRPr="00F97F0A" w:rsidRDefault="00AE591A" w:rsidP="00F97F0A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AE591A" w:rsidRPr="00F9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14"/>
    <w:multiLevelType w:val="hybridMultilevel"/>
    <w:tmpl w:val="675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5EA"/>
    <w:multiLevelType w:val="hybridMultilevel"/>
    <w:tmpl w:val="311EAE00"/>
    <w:lvl w:ilvl="0" w:tplc="5346FB4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B25E73"/>
    <w:multiLevelType w:val="hybridMultilevel"/>
    <w:tmpl w:val="675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B29AC"/>
    <w:multiLevelType w:val="hybridMultilevel"/>
    <w:tmpl w:val="1E4218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3A"/>
    <w:rsid w:val="002629C5"/>
    <w:rsid w:val="002C562E"/>
    <w:rsid w:val="003115C9"/>
    <w:rsid w:val="00362E2B"/>
    <w:rsid w:val="004B78AC"/>
    <w:rsid w:val="00550027"/>
    <w:rsid w:val="00563006"/>
    <w:rsid w:val="005978C5"/>
    <w:rsid w:val="005D7A01"/>
    <w:rsid w:val="00696ABB"/>
    <w:rsid w:val="006F5B4E"/>
    <w:rsid w:val="00703691"/>
    <w:rsid w:val="00A248E6"/>
    <w:rsid w:val="00AE591A"/>
    <w:rsid w:val="00AF651A"/>
    <w:rsid w:val="00B8116E"/>
    <w:rsid w:val="00C13CAF"/>
    <w:rsid w:val="00C949AE"/>
    <w:rsid w:val="00F459D3"/>
    <w:rsid w:val="00F97F0A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FF753A"/>
    <w:pPr>
      <w:ind w:left="720"/>
      <w:contextualSpacing/>
    </w:pPr>
  </w:style>
  <w:style w:type="character" w:customStyle="1" w:styleId="a4">
    <w:name w:val="Абзац списка Знак"/>
    <w:aliases w:val="Абзац Знак"/>
    <w:link w:val="a3"/>
    <w:uiPriority w:val="99"/>
    <w:locked/>
    <w:rsid w:val="00FF753A"/>
  </w:style>
  <w:style w:type="character" w:customStyle="1" w:styleId="fio">
    <w:name w:val="fio"/>
    <w:basedOn w:val="a0"/>
    <w:rsid w:val="00563006"/>
  </w:style>
  <w:style w:type="paragraph" w:styleId="a5">
    <w:name w:val="Normal (Web)"/>
    <w:aliases w:val="Обычный (Web)"/>
    <w:basedOn w:val="a"/>
    <w:uiPriority w:val="99"/>
    <w:unhideWhenUsed/>
    <w:rsid w:val="00A2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48E6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2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2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Book Title"/>
    <w:aliases w:val="Title"/>
    <w:basedOn w:val="a0"/>
    <w:uiPriority w:val="33"/>
    <w:qFormat/>
    <w:rsid w:val="00A248E6"/>
    <w:rPr>
      <w:rFonts w:ascii="Times New Roman" w:hAnsi="Times New Roman"/>
      <w:b/>
      <w:bCs/>
      <w:i/>
      <w:iCs/>
      <w:color w:val="000000" w:themeColor="text1"/>
      <w:spacing w:val="5"/>
      <w:sz w:val="24"/>
    </w:rPr>
  </w:style>
  <w:style w:type="table" w:customStyle="1" w:styleId="TableNormal">
    <w:name w:val="Table Normal"/>
    <w:uiPriority w:val="2"/>
    <w:semiHidden/>
    <w:unhideWhenUsed/>
    <w:qFormat/>
    <w:rsid w:val="006F5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FF753A"/>
    <w:pPr>
      <w:ind w:left="720"/>
      <w:contextualSpacing/>
    </w:pPr>
  </w:style>
  <w:style w:type="character" w:customStyle="1" w:styleId="a4">
    <w:name w:val="Абзац списка Знак"/>
    <w:aliases w:val="Абзац Знак"/>
    <w:link w:val="a3"/>
    <w:uiPriority w:val="99"/>
    <w:locked/>
    <w:rsid w:val="00FF753A"/>
  </w:style>
  <w:style w:type="character" w:customStyle="1" w:styleId="fio">
    <w:name w:val="fio"/>
    <w:basedOn w:val="a0"/>
    <w:rsid w:val="00563006"/>
  </w:style>
  <w:style w:type="paragraph" w:styleId="a5">
    <w:name w:val="Normal (Web)"/>
    <w:aliases w:val="Обычный (Web)"/>
    <w:basedOn w:val="a"/>
    <w:uiPriority w:val="99"/>
    <w:unhideWhenUsed/>
    <w:rsid w:val="00A2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48E6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2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2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Book Title"/>
    <w:aliases w:val="Title"/>
    <w:basedOn w:val="a0"/>
    <w:uiPriority w:val="33"/>
    <w:qFormat/>
    <w:rsid w:val="00A248E6"/>
    <w:rPr>
      <w:rFonts w:ascii="Times New Roman" w:hAnsi="Times New Roman"/>
      <w:b/>
      <w:bCs/>
      <w:i/>
      <w:iCs/>
      <w:color w:val="000000" w:themeColor="text1"/>
      <w:spacing w:val="5"/>
      <w:sz w:val="24"/>
    </w:rPr>
  </w:style>
  <w:style w:type="table" w:customStyle="1" w:styleId="TableNormal">
    <w:name w:val="Table Normal"/>
    <w:uiPriority w:val="2"/>
    <w:semiHidden/>
    <w:unhideWhenUsed/>
    <w:qFormat/>
    <w:rsid w:val="006F5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vsu.ru/index.php?option=com_k2&amp;view=itemlist&amp;layout=category&amp;task=category&amp;id=191&amp;Itemid=312" TargetMode="External"/><Relationship Id="rId13" Type="http://schemas.openxmlformats.org/officeDocument/2006/relationships/hyperlink" Target="http://library.chuvsu.ru/" TargetMode="External"/><Relationship Id="rId18" Type="http://schemas.openxmlformats.org/officeDocument/2006/relationships/hyperlink" Target="http://www.chuvsu.ru/index.php?option=com_k2&amp;view=item&amp;id=4406&amp;Itemid=6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chuvsu.ru/index.php?option=com_k2&amp;view=itemlist&amp;layout=category&amp;task=category&amp;id=191&amp;Itemid=312" TargetMode="External"/><Relationship Id="rId12" Type="http://schemas.openxmlformats.org/officeDocument/2006/relationships/hyperlink" Target="http://www.chuvsu.ru/index.php?option=com_k2&amp;view=item&amp;layout=item&amp;id=1262&amp;Itemid=424" TargetMode="External"/><Relationship Id="rId17" Type="http://schemas.openxmlformats.org/officeDocument/2006/relationships/hyperlink" Target="http://www.chuvsu.ru/index.php?option=com_k2&amp;view=item&amp;id=4405&amp;Itemid=6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uvsu.ru/index.php?option=com_k2&amp;view=itemlist&amp;layout=category&amp;task=category&amp;id=195&amp;Itemid=320" TargetMode="External"/><Relationship Id="rId20" Type="http://schemas.openxmlformats.org/officeDocument/2006/relationships/hyperlink" Target="http://elibrary.ru/org_profile.asp?id=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uvsu.ru/index.php?option=com_k2&amp;view=itemlist&amp;layout=category&amp;task=category&amp;id=547&amp;Itemid=4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uvsu.ru/index.php?option=com_k2&amp;view=itemlist&amp;layout=category&amp;task=category&amp;id=567&amp;Itemid=514" TargetMode="External"/><Relationship Id="rId10" Type="http://schemas.openxmlformats.org/officeDocument/2006/relationships/hyperlink" Target="http://www.chuvsu.ru/index.php?option=com_k2&amp;view=item&amp;id=1259&amp;Itemid=309" TargetMode="External"/><Relationship Id="rId19" Type="http://schemas.openxmlformats.org/officeDocument/2006/relationships/hyperlink" Target="http://elibrary.ru/org_profile.asp?id=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vsu.ru/index.php?option=com_k2&amp;view=itemlist&amp;layout=category&amp;task=category&amp;id=191&amp;Itemid=312" TargetMode="External"/><Relationship Id="rId14" Type="http://schemas.openxmlformats.org/officeDocument/2006/relationships/hyperlink" Target="http://www.chuvsu.ru/index.php?option=com_k2&amp;view=item&amp;id=4397&amp;Itemid=11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D920-8E92-42AE-BDD2-91CBBE63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7459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2022-03-24T07:59:00Z</dcterms:created>
  <dcterms:modified xsi:type="dcterms:W3CDTF">2022-03-24T07:59:00Z</dcterms:modified>
</cp:coreProperties>
</file>